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C553AF" w14:textId="4C3C5EB0" w:rsidR="00F81EB7" w:rsidRPr="00FD5EFF" w:rsidRDefault="00F81EB7" w:rsidP="00A47B02">
      <w:pPr>
        <w:jc w:val="center"/>
        <w:rPr>
          <w:b/>
          <w:bCs/>
        </w:rPr>
      </w:pPr>
      <w:r w:rsidRPr="00FD5EFF">
        <w:rPr>
          <w:b/>
          <w:bCs/>
        </w:rPr>
        <w:t>Cheatgrass Invasions…in Lower Rolling Plains of Texas?!</w:t>
      </w:r>
    </w:p>
    <w:p w14:paraId="1FA54F31" w14:textId="7A69D2A4" w:rsidR="00FD5EFF" w:rsidRDefault="00EC2763" w:rsidP="00FD5EFF">
      <w:pPr>
        <w:spacing w:after="0" w:line="240" w:lineRule="auto"/>
        <w:jc w:val="center"/>
        <w:rPr>
          <w:i/>
          <w:iCs/>
        </w:rPr>
      </w:pPr>
      <w:r w:rsidRPr="00FD5EFF">
        <w:rPr>
          <w:i/>
          <w:iCs/>
        </w:rPr>
        <w:t xml:space="preserve">*West Texas Rangelands extends </w:t>
      </w:r>
      <w:r w:rsidR="00FD5EFF">
        <w:rPr>
          <w:i/>
          <w:iCs/>
        </w:rPr>
        <w:t xml:space="preserve">heartfelt </w:t>
      </w:r>
      <w:r w:rsidRPr="00FD5EFF">
        <w:rPr>
          <w:i/>
          <w:iCs/>
        </w:rPr>
        <w:t>gratitude to Matthew Coffman, USDA-NRCS Rangeland Management Specialist</w:t>
      </w:r>
      <w:r w:rsidR="00FD5EFF">
        <w:rPr>
          <w:i/>
          <w:iCs/>
        </w:rPr>
        <w:t xml:space="preserve"> (Snyder, TX)</w:t>
      </w:r>
      <w:r w:rsidRPr="00FD5EFF">
        <w:rPr>
          <w:i/>
          <w:iCs/>
        </w:rPr>
        <w:t xml:space="preserve">, for his keen eye, rapid monitoring skills, and helpful communication in relaying this rangeland </w:t>
      </w:r>
      <w:proofErr w:type="gramStart"/>
      <w:r w:rsidRPr="00FD5EFF">
        <w:rPr>
          <w:i/>
          <w:iCs/>
        </w:rPr>
        <w:t>challenge.*</w:t>
      </w:r>
      <w:proofErr w:type="gramEnd"/>
      <w:r w:rsidRPr="00FD5EFF">
        <w:rPr>
          <w:i/>
          <w:iCs/>
        </w:rPr>
        <w:t xml:space="preserve"> </w:t>
      </w:r>
    </w:p>
    <w:p w14:paraId="179CFD4F" w14:textId="40F5A1D5" w:rsidR="00EC2763" w:rsidRDefault="00EC2763" w:rsidP="00FD5EFF">
      <w:pPr>
        <w:spacing w:after="0" w:line="240" w:lineRule="auto"/>
        <w:jc w:val="center"/>
        <w:rPr>
          <w:i/>
          <w:iCs/>
        </w:rPr>
      </w:pPr>
      <w:proofErr w:type="gramStart"/>
      <w:r w:rsidRPr="00FD5EFF">
        <w:rPr>
          <w:i/>
          <w:iCs/>
        </w:rPr>
        <w:t>Well</w:t>
      </w:r>
      <w:proofErr w:type="gramEnd"/>
      <w:r w:rsidRPr="00FD5EFF">
        <w:rPr>
          <w:i/>
          <w:iCs/>
        </w:rPr>
        <w:t xml:space="preserve"> done Slim</w:t>
      </w:r>
      <w:r w:rsidR="00FD5EFF">
        <w:rPr>
          <w:i/>
          <w:iCs/>
        </w:rPr>
        <w:t>!</w:t>
      </w:r>
    </w:p>
    <w:p w14:paraId="6B5554BB" w14:textId="77777777" w:rsidR="00FD5EFF" w:rsidRPr="00FD5EFF" w:rsidRDefault="00FD5EFF" w:rsidP="00FD5EFF">
      <w:pPr>
        <w:spacing w:after="0" w:line="240" w:lineRule="auto"/>
        <w:jc w:val="center"/>
        <w:rPr>
          <w:i/>
          <w:iCs/>
        </w:rPr>
      </w:pPr>
    </w:p>
    <w:p w14:paraId="4E9AFDCB" w14:textId="49C78C97" w:rsidR="00A47B02" w:rsidRDefault="00A47B02" w:rsidP="00A47B02">
      <w:r>
        <w:t>Cheatgrass (</w:t>
      </w:r>
      <w:r w:rsidRPr="00A47B02">
        <w:rPr>
          <w:i/>
          <w:iCs/>
        </w:rPr>
        <w:t>Bromus tectorum</w:t>
      </w:r>
      <w:r>
        <w:t xml:space="preserve">), an invasive annual grass, poses a significant ecological threat to the Southern Great Plains of Texas, particularly in the Rolling Plains region. Ranchers in this area, who depend on native perennial grasses for sustaining livestock grazing and maintaining ecological balance, should be concerned about cheatgrass invasions. Cheatgrass displaces native grasses, such as </w:t>
      </w:r>
      <w:proofErr w:type="spellStart"/>
      <w:r>
        <w:t>Bouteloua</w:t>
      </w:r>
      <w:proofErr w:type="spellEnd"/>
      <w:r>
        <w:t xml:space="preserve"> </w:t>
      </w:r>
      <w:proofErr w:type="spellStart"/>
      <w:r>
        <w:t>gracilis</w:t>
      </w:r>
      <w:proofErr w:type="spellEnd"/>
      <w:r>
        <w:t xml:space="preserve"> </w:t>
      </w:r>
      <w:r>
        <w:t xml:space="preserve">(blue grama) and </w:t>
      </w:r>
      <w:proofErr w:type="spellStart"/>
      <w:r>
        <w:t>Schizachyrium</w:t>
      </w:r>
      <w:proofErr w:type="spellEnd"/>
      <w:r>
        <w:t xml:space="preserve"> </w:t>
      </w:r>
      <w:proofErr w:type="spellStart"/>
      <w:r>
        <w:t>scoparium</w:t>
      </w:r>
      <w:proofErr w:type="spellEnd"/>
      <w:r>
        <w:t xml:space="preserve"> (little bluestem), which are key to maintaining soil stability, biodiversity, and forage quality (</w:t>
      </w:r>
      <w:proofErr w:type="spellStart"/>
      <w:r>
        <w:t>D'Antonio</w:t>
      </w:r>
      <w:proofErr w:type="spellEnd"/>
      <w:r>
        <w:t xml:space="preserve"> &amp; </w:t>
      </w:r>
      <w:proofErr w:type="spellStart"/>
      <w:r>
        <w:t>Vitousek</w:t>
      </w:r>
      <w:proofErr w:type="spellEnd"/>
      <w:r>
        <w:t>, 1992; Chambers et al., 2014).</w:t>
      </w:r>
    </w:p>
    <w:p w14:paraId="1F94A6C7" w14:textId="076947B6" w:rsidR="00A47B02" w:rsidRDefault="00A47B02" w:rsidP="00A47B02">
      <w:r>
        <w:t xml:space="preserve">One primary issue with cheatgrass is its early germination and rapid growth. It outcompetes native species for limited water and nutrients, leading to reductions in the establishment of native grasses, which are adapted to the local climate and soil conditions. Cheatgrass tends to complete its life cycle before native grasses even begin to thrive, monopolizing resources and thereby reducing the ecological resilience of the grassland ecosystem (Bradford &amp; </w:t>
      </w:r>
      <w:proofErr w:type="spellStart"/>
      <w:r>
        <w:t>Lauenroth</w:t>
      </w:r>
      <w:proofErr w:type="spellEnd"/>
      <w:r>
        <w:t>, 2006). This displacement leads to a decrease in the availability of high-quality forage for livestock, negatively impacting ranchers' livelihoods.</w:t>
      </w:r>
    </w:p>
    <w:p w14:paraId="2FEC43BA" w14:textId="6CF0D633" w:rsidR="00A47B02" w:rsidRDefault="00A47B02" w:rsidP="00A47B02">
      <w:r>
        <w:t xml:space="preserve">Moreover, cheatgrass increases the frequency and intensity of wildfires. Its dense, dry biomass acts as fuel for fires, which can destroy perennial grasses that are not adapted to frequent fire regimes. Cheatgrass, however, is fire-adapted and can quickly regenerate post-fire, exacerbating the cycle of degradation (Balch et al., 2013). This feedback loop not only degrades the grassland ecosystem but also threatens livestock and ranch infrastructure. </w:t>
      </w:r>
    </w:p>
    <w:p w14:paraId="0F248005" w14:textId="48C2D23E" w:rsidR="00A47B02" w:rsidRDefault="00A47B02" w:rsidP="00A47B02">
      <w:r>
        <w:t>The reduction of native grass cover also leads to soil erosion, particularly in the semi-arid conditions of the Upper Rolling Plains. Native perennials play a critical role in preventing soil loss through their extensive root systems, but cheatgrass lacks this capacity, thereby increasing the risk of soil degradation and reducing the long-term viability of the land for grazing (Evans et al., 2001).</w:t>
      </w:r>
    </w:p>
    <w:p w14:paraId="064FEC2E" w14:textId="4EA2B943" w:rsidR="00A47B02" w:rsidRDefault="00EC2763" w:rsidP="00A47B02">
      <w:r>
        <w:t xml:space="preserve">The </w:t>
      </w:r>
      <w:r w:rsidR="00A47B02">
        <w:t xml:space="preserve">invasion of cheatgrass threatens to disrupt the ecological integrity of rangelands in the Southern Great Plains, undermining both the environmental and economic sustainability of ranching. Effective management and restoration efforts to prevent cheatgrass </w:t>
      </w:r>
      <w:r w:rsidR="00A47B02">
        <w:lastRenderedPageBreak/>
        <w:t>establishment and promote native grass species are essential for maintaining the resilience of this landscape (Davies, 2011).</w:t>
      </w:r>
    </w:p>
    <w:p w14:paraId="610CA625" w14:textId="1E0B164B" w:rsidR="00A47B02" w:rsidRPr="00501C06" w:rsidRDefault="00A47B02" w:rsidP="00A47B02">
      <w:pPr>
        <w:rPr>
          <w:b/>
          <w:bCs/>
        </w:rPr>
      </w:pPr>
      <w:r w:rsidRPr="00501C06">
        <w:rPr>
          <w:b/>
          <w:bCs/>
        </w:rPr>
        <w:t>References</w:t>
      </w:r>
    </w:p>
    <w:p w14:paraId="3D4ED0CD" w14:textId="77777777" w:rsidR="00A47B02" w:rsidRDefault="00A47B02" w:rsidP="00A47B02">
      <w:r>
        <w:t xml:space="preserve">- Balch, J. K., Bradley, B. A., </w:t>
      </w:r>
      <w:proofErr w:type="spellStart"/>
      <w:r>
        <w:t>D'Antonio</w:t>
      </w:r>
      <w:proofErr w:type="spellEnd"/>
      <w:r>
        <w:t>, C. M., &amp; Gómez-Dans, J. (2013). Introduced annual grass increases regional fire activity across the arid western USA (1980–2009). *Global Change Biology, 19*(1), 173-183.</w:t>
      </w:r>
    </w:p>
    <w:p w14:paraId="13AD2FE0" w14:textId="77777777" w:rsidR="00A47B02" w:rsidRDefault="00A47B02" w:rsidP="00A47B02">
      <w:r>
        <w:t xml:space="preserve">- Bradford, J. B., &amp; </w:t>
      </w:r>
      <w:proofErr w:type="spellStart"/>
      <w:r>
        <w:t>Lauenroth</w:t>
      </w:r>
      <w:proofErr w:type="spellEnd"/>
      <w:r>
        <w:t>, W. K. (2006). Controls over invasion of Bromus tectorum: The importance of climate, soil, disturbance and seed availability. *Journal of Vegetation Science, 17*(6), 693-704.</w:t>
      </w:r>
    </w:p>
    <w:p w14:paraId="76127153" w14:textId="77777777" w:rsidR="00A47B02" w:rsidRDefault="00A47B02" w:rsidP="00A47B02">
      <w:r>
        <w:t xml:space="preserve">- Chambers, J. C., Bradley, B. A., Brown, C. S., </w:t>
      </w:r>
      <w:proofErr w:type="spellStart"/>
      <w:r>
        <w:t>D'Antonio</w:t>
      </w:r>
      <w:proofErr w:type="spellEnd"/>
      <w:r>
        <w:t xml:space="preserve">, C. M., </w:t>
      </w:r>
      <w:proofErr w:type="spellStart"/>
      <w:r>
        <w:t>Germino</w:t>
      </w:r>
      <w:proofErr w:type="spellEnd"/>
      <w:r>
        <w:t xml:space="preserve">, M. J., Grace, J. B., </w:t>
      </w:r>
      <w:proofErr w:type="spellStart"/>
      <w:r>
        <w:t>Hardegree</w:t>
      </w:r>
      <w:proofErr w:type="spellEnd"/>
      <w:r>
        <w:t>, S. P., Miller, R. F., &amp; Pyke, D. A. (2014). Resilience to stress and disturbance, and resistance to Bromus tectorum invasion in cold desert shrublands of western North America. *Ecosystems, 17*(2), 360-375.</w:t>
      </w:r>
    </w:p>
    <w:p w14:paraId="3C926BE6" w14:textId="77777777" w:rsidR="00A47B02" w:rsidRDefault="00A47B02" w:rsidP="00A47B02">
      <w:r>
        <w:t xml:space="preserve">- </w:t>
      </w:r>
      <w:proofErr w:type="spellStart"/>
      <w:r>
        <w:t>D'Antonio</w:t>
      </w:r>
      <w:proofErr w:type="spellEnd"/>
      <w:r>
        <w:t xml:space="preserve">, C. M., &amp; </w:t>
      </w:r>
      <w:proofErr w:type="spellStart"/>
      <w:r>
        <w:t>Vitousek</w:t>
      </w:r>
      <w:proofErr w:type="spellEnd"/>
      <w:r>
        <w:t>, P. M. (1992). Biological invasions by exotic grasses, the grass/fire cycle, and global change. *Annual Review of Ecology and Systematics, 23*, 63-87.</w:t>
      </w:r>
    </w:p>
    <w:p w14:paraId="58421C03" w14:textId="77777777" w:rsidR="00A47B02" w:rsidRDefault="00A47B02" w:rsidP="00A47B02">
      <w:r>
        <w:t>- Davies, K. W. (2011). Plant community diversity and native plant abundance decline with increasing abundance of an exotic annual grass. *</w:t>
      </w:r>
      <w:proofErr w:type="spellStart"/>
      <w:r>
        <w:t>Oecologia</w:t>
      </w:r>
      <w:proofErr w:type="spellEnd"/>
      <w:r>
        <w:t>, 167*(2), 481-491.</w:t>
      </w:r>
    </w:p>
    <w:p w14:paraId="58B889E8" w14:textId="7B398789" w:rsidR="00F81EB7" w:rsidRDefault="00A47B02" w:rsidP="00A47B02">
      <w:r>
        <w:t xml:space="preserve">- Evans, R. A., </w:t>
      </w:r>
      <w:proofErr w:type="spellStart"/>
      <w:r>
        <w:t>Holbo</w:t>
      </w:r>
      <w:proofErr w:type="spellEnd"/>
      <w:r>
        <w:t>, H. R., &amp; Young, J. A. (2001). Cheatgrass: Invasion, occurrence, biological characteristics, and control. *Invasive Plant Science and Management, 54*(3), 69-85.</w:t>
      </w:r>
    </w:p>
    <w:p w14:paraId="6742AEA0" w14:textId="77777777" w:rsidR="00501C06" w:rsidRDefault="00501C06" w:rsidP="00A47B02"/>
    <w:p w14:paraId="13E23EC9" w14:textId="77777777" w:rsidR="00501C06" w:rsidRDefault="00501C06" w:rsidP="00A47B02"/>
    <w:p w14:paraId="5E70839D" w14:textId="5D2B6591" w:rsidR="00FD5EFF" w:rsidRPr="00501C06" w:rsidRDefault="00501C06" w:rsidP="00A47B02">
      <w:pPr>
        <w:rPr>
          <w:b/>
          <w:bCs/>
          <w:u w:val="single"/>
        </w:rPr>
      </w:pPr>
      <w:r w:rsidRPr="00501C06">
        <w:rPr>
          <w:b/>
          <w:bCs/>
          <w:u w:val="single"/>
        </w:rPr>
        <w:t>2024 Production Estimates</w:t>
      </w:r>
    </w:p>
    <w:p w14:paraId="65B05821" w14:textId="77777777" w:rsidR="00FD5EFF" w:rsidRPr="00FD5EFF" w:rsidRDefault="00FD5EFF" w:rsidP="00FD5EFF">
      <w:pPr>
        <w:spacing w:after="0" w:line="240" w:lineRule="auto"/>
        <w:rPr>
          <w:u w:val="single"/>
        </w:rPr>
      </w:pPr>
      <w:r w:rsidRPr="00FD5EFF">
        <w:rPr>
          <w:u w:val="single"/>
        </w:rPr>
        <w:t>Very Shallow Clay 78B ecological site:</w:t>
      </w:r>
    </w:p>
    <w:p w14:paraId="3931D177" w14:textId="77777777" w:rsidR="00FD5EFF" w:rsidRDefault="00FD5EFF" w:rsidP="00FD5EFF">
      <w:pPr>
        <w:spacing w:after="0" w:line="240" w:lineRule="auto"/>
      </w:pPr>
      <w:r>
        <w:t xml:space="preserve">Total Estimated Herbaceous production = 2,263 </w:t>
      </w:r>
      <w:proofErr w:type="spellStart"/>
      <w:r>
        <w:t>lbs</w:t>
      </w:r>
      <w:proofErr w:type="spellEnd"/>
      <w:r>
        <w:t>/ac (does not include trees or shrubs)</w:t>
      </w:r>
    </w:p>
    <w:p w14:paraId="473D9626" w14:textId="77777777" w:rsidR="00FD5EFF" w:rsidRDefault="00FD5EFF" w:rsidP="00FD5EFF">
      <w:pPr>
        <w:spacing w:after="0" w:line="240" w:lineRule="auto"/>
      </w:pPr>
      <w:r>
        <w:t xml:space="preserve">Total Estimated Cheatgrass production = 1,086 </w:t>
      </w:r>
      <w:proofErr w:type="spellStart"/>
      <w:r>
        <w:t>lbs</w:t>
      </w:r>
      <w:proofErr w:type="spellEnd"/>
      <w:r>
        <w:t>/ac</w:t>
      </w:r>
    </w:p>
    <w:p w14:paraId="20B61A6E" w14:textId="77777777" w:rsidR="00FD5EFF" w:rsidRDefault="00FD5EFF" w:rsidP="00FD5EFF">
      <w:pPr>
        <w:spacing w:after="0" w:line="240" w:lineRule="auto"/>
      </w:pPr>
      <w:r>
        <w:t>Cheatgrass % of total production = 48%</w:t>
      </w:r>
    </w:p>
    <w:p w14:paraId="596CC793" w14:textId="77777777" w:rsidR="00B61CAD" w:rsidRDefault="00B61CAD" w:rsidP="00FD5EFF">
      <w:pPr>
        <w:spacing w:after="0" w:line="240" w:lineRule="auto"/>
      </w:pPr>
    </w:p>
    <w:p w14:paraId="1352B60D" w14:textId="21B8B172" w:rsidR="00B61CAD" w:rsidRDefault="00B61CAD" w:rsidP="00FD5EFF">
      <w:pPr>
        <w:spacing w:after="0" w:line="240" w:lineRule="auto"/>
      </w:pPr>
      <w:r>
        <w:rPr>
          <w:noProof/>
        </w:rPr>
        <w:lastRenderedPageBreak/>
        <w:drawing>
          <wp:inline distT="0" distB="0" distL="0" distR="0" wp14:anchorId="457C160A" wp14:editId="63FEAEF4">
            <wp:extent cx="5943600" cy="4457700"/>
            <wp:effectExtent l="0" t="0" r="0" b="0"/>
            <wp:docPr id="1179023796" name="Picture 7" descr="A square frame made of pipes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23796" name="Picture 7" descr="A square frame made of pipes in the grass&#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BC4211F" w14:textId="7E0D6752" w:rsidR="00EE0C12" w:rsidRDefault="00EE0C12" w:rsidP="00FD5EFF">
      <w:pPr>
        <w:spacing w:after="0" w:line="240" w:lineRule="auto"/>
      </w:pPr>
      <w:r>
        <w:t xml:space="preserve">Figure 1. </w:t>
      </w:r>
      <w:r w:rsidRPr="00EE0C12">
        <w:t>Hardeman Co</w:t>
      </w:r>
      <w:r w:rsidR="00501C06">
        <w:t xml:space="preserve">unty, </w:t>
      </w:r>
      <w:r w:rsidRPr="00EE0C12">
        <w:t>Very Shallow Clay</w:t>
      </w:r>
      <w:r w:rsidR="00501C06">
        <w:t xml:space="preserve">, </w:t>
      </w:r>
      <w:r w:rsidRPr="00EE0C12">
        <w:t>5-2024</w:t>
      </w:r>
      <w:r w:rsidR="00501C06">
        <w:t xml:space="preserve"> f</w:t>
      </w:r>
      <w:r w:rsidRPr="00EE0C12">
        <w:t>rame</w:t>
      </w:r>
      <w:r>
        <w:t>.</w:t>
      </w:r>
    </w:p>
    <w:p w14:paraId="062CEEBE" w14:textId="2F5FDA3B" w:rsidR="00EE0C12" w:rsidRDefault="00EE0C12" w:rsidP="00FD5EFF">
      <w:pPr>
        <w:spacing w:after="0" w:line="240" w:lineRule="auto"/>
      </w:pPr>
      <w:r>
        <w:rPr>
          <w:noProof/>
        </w:rPr>
        <w:lastRenderedPageBreak/>
        <w:drawing>
          <wp:inline distT="0" distB="0" distL="0" distR="0" wp14:anchorId="0B43CE5F" wp14:editId="7192D093">
            <wp:extent cx="5943600" cy="4457700"/>
            <wp:effectExtent l="0" t="0" r="0" b="0"/>
            <wp:docPr id="2129008119" name="Picture 8" descr="A field of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08119" name="Picture 8" descr="A field of grass and tre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520B3A6" w14:textId="5141B977" w:rsidR="00FD5EFF" w:rsidRDefault="00FD5EFF" w:rsidP="00FD5EFF">
      <w:r>
        <w:t xml:space="preserve"> </w:t>
      </w:r>
      <w:r w:rsidR="00EE0C12">
        <w:t xml:space="preserve">Figure 2. </w:t>
      </w:r>
      <w:r w:rsidR="00EE0C12" w:rsidRPr="00EE0C12">
        <w:t>Hardeman Co</w:t>
      </w:r>
      <w:r w:rsidR="00501C06">
        <w:t xml:space="preserve">unty, </w:t>
      </w:r>
      <w:r w:rsidR="00EE0C12" w:rsidRPr="00EE0C12">
        <w:t>Very Shallow Clay</w:t>
      </w:r>
      <w:r w:rsidR="00501C06">
        <w:t xml:space="preserve">, </w:t>
      </w:r>
      <w:r w:rsidR="00EE0C12" w:rsidRPr="00EE0C12">
        <w:t>5-2024</w:t>
      </w:r>
      <w:r w:rsidR="00501C06">
        <w:t xml:space="preserve"> t</w:t>
      </w:r>
      <w:r w:rsidR="00EE0C12" w:rsidRPr="00EE0C12">
        <w:t>ransect</w:t>
      </w:r>
      <w:r w:rsidR="00EE0C12">
        <w:t>.</w:t>
      </w:r>
    </w:p>
    <w:p w14:paraId="529897EF" w14:textId="77777777" w:rsidR="00FD5EFF" w:rsidRPr="00FD5EFF" w:rsidRDefault="00FD5EFF" w:rsidP="00FD5EFF">
      <w:pPr>
        <w:spacing w:after="0" w:line="240" w:lineRule="auto"/>
        <w:rPr>
          <w:u w:val="single"/>
        </w:rPr>
      </w:pPr>
      <w:r w:rsidRPr="00FD5EFF">
        <w:rPr>
          <w:u w:val="single"/>
        </w:rPr>
        <w:t>Sandy Loam 78B ecological site:</w:t>
      </w:r>
    </w:p>
    <w:p w14:paraId="4309813E" w14:textId="77777777" w:rsidR="00FD5EFF" w:rsidRDefault="00FD5EFF" w:rsidP="00FD5EFF">
      <w:pPr>
        <w:spacing w:after="0" w:line="240" w:lineRule="auto"/>
      </w:pPr>
      <w:r>
        <w:t xml:space="preserve">Total Estimated Herbaceous production = 2,196 </w:t>
      </w:r>
      <w:proofErr w:type="spellStart"/>
      <w:r>
        <w:t>lbs</w:t>
      </w:r>
      <w:proofErr w:type="spellEnd"/>
      <w:r>
        <w:t>/ac (does not include trees or shrubs)</w:t>
      </w:r>
    </w:p>
    <w:p w14:paraId="5EB0040F" w14:textId="77777777" w:rsidR="00FD5EFF" w:rsidRDefault="00FD5EFF" w:rsidP="00FD5EFF">
      <w:pPr>
        <w:spacing w:after="0" w:line="240" w:lineRule="auto"/>
      </w:pPr>
      <w:r>
        <w:t xml:space="preserve">Total Estimated Cheatgrass production = 1,054 </w:t>
      </w:r>
      <w:proofErr w:type="spellStart"/>
      <w:r>
        <w:t>lbs</w:t>
      </w:r>
      <w:proofErr w:type="spellEnd"/>
      <w:r>
        <w:t>/ac</w:t>
      </w:r>
    </w:p>
    <w:p w14:paraId="219899CE" w14:textId="77777777" w:rsidR="00FD5EFF" w:rsidRDefault="00FD5EFF" w:rsidP="00FD5EFF">
      <w:pPr>
        <w:spacing w:after="0" w:line="240" w:lineRule="auto"/>
      </w:pPr>
      <w:r>
        <w:t>Cheatgrass % of total production = 48%</w:t>
      </w:r>
    </w:p>
    <w:p w14:paraId="77D5A6C6" w14:textId="77777777" w:rsidR="00EE0C12" w:rsidRDefault="00EE0C12" w:rsidP="00FD5EFF">
      <w:pPr>
        <w:spacing w:after="0" w:line="240" w:lineRule="auto"/>
      </w:pPr>
    </w:p>
    <w:p w14:paraId="7AB2A42B" w14:textId="67F1F1A3" w:rsidR="00EE0C12" w:rsidRDefault="00EE0C12" w:rsidP="00FD5EFF">
      <w:pPr>
        <w:spacing w:after="0" w:line="240" w:lineRule="auto"/>
      </w:pPr>
      <w:r>
        <w:rPr>
          <w:noProof/>
        </w:rPr>
        <w:lastRenderedPageBreak/>
        <w:drawing>
          <wp:inline distT="0" distB="0" distL="0" distR="0" wp14:anchorId="47CFF1F3" wp14:editId="325B3F29">
            <wp:extent cx="5943600" cy="4457700"/>
            <wp:effectExtent l="0" t="0" r="0" b="0"/>
            <wp:docPr id="8289293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29361" name="Picture 82892936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F63D5A2" w14:textId="68B06AD3" w:rsidR="00EE0C12" w:rsidRDefault="00EE0C12" w:rsidP="00FD5EFF">
      <w:pPr>
        <w:spacing w:after="0" w:line="240" w:lineRule="auto"/>
      </w:pPr>
      <w:r>
        <w:t xml:space="preserve">Figure 3. </w:t>
      </w:r>
      <w:r w:rsidRPr="00EE0C12">
        <w:t>Hardeman Co</w:t>
      </w:r>
      <w:r w:rsidR="00501C06">
        <w:t xml:space="preserve">unty, </w:t>
      </w:r>
      <w:r w:rsidRPr="00EE0C12">
        <w:t>Very Shallow Clay</w:t>
      </w:r>
      <w:r w:rsidR="00501C06">
        <w:t xml:space="preserve">, </w:t>
      </w:r>
      <w:r w:rsidRPr="00EE0C12">
        <w:t>5-2024</w:t>
      </w:r>
      <w:r w:rsidR="00501C06">
        <w:t xml:space="preserve"> f</w:t>
      </w:r>
      <w:r w:rsidRPr="00EE0C12">
        <w:t>rame</w:t>
      </w:r>
      <w:r>
        <w:t>.</w:t>
      </w:r>
    </w:p>
    <w:p w14:paraId="2EBFC19B" w14:textId="77777777" w:rsidR="00EE0C12" w:rsidRDefault="00EE0C12" w:rsidP="00FD5EFF">
      <w:pPr>
        <w:spacing w:after="0" w:line="240" w:lineRule="auto"/>
      </w:pPr>
    </w:p>
    <w:p w14:paraId="14EB3AAB" w14:textId="06477049" w:rsidR="00EE0C12" w:rsidRDefault="00EE0C12" w:rsidP="00FD5EFF">
      <w:pPr>
        <w:spacing w:after="0" w:line="240" w:lineRule="auto"/>
      </w:pPr>
      <w:r>
        <w:rPr>
          <w:noProof/>
        </w:rPr>
        <w:lastRenderedPageBreak/>
        <w:drawing>
          <wp:inline distT="0" distB="0" distL="0" distR="0" wp14:anchorId="7DAB5C7F" wp14:editId="22E7D175">
            <wp:extent cx="5943600" cy="4457700"/>
            <wp:effectExtent l="0" t="0" r="0" b="0"/>
            <wp:docPr id="424375919" name="Picture 10" descr="A close-u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75919" name="Picture 10" descr="A close-up of a fie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6512BF4" w14:textId="71C1B684" w:rsidR="00FD5EFF" w:rsidRDefault="00FD5EFF" w:rsidP="00FD5EFF">
      <w:r>
        <w:t xml:space="preserve"> </w:t>
      </w:r>
      <w:r w:rsidR="00EE0C12">
        <w:t xml:space="preserve">Figure 4. </w:t>
      </w:r>
      <w:r w:rsidR="00501C06" w:rsidRPr="00501C06">
        <w:t>Hardeman Co</w:t>
      </w:r>
      <w:r w:rsidR="00501C06">
        <w:t xml:space="preserve">unty, </w:t>
      </w:r>
      <w:r w:rsidR="00501C06" w:rsidRPr="00501C06">
        <w:t>Sandy Loam</w:t>
      </w:r>
      <w:r w:rsidR="00501C06">
        <w:t xml:space="preserve">, </w:t>
      </w:r>
      <w:r w:rsidR="00501C06" w:rsidRPr="00501C06">
        <w:t>5-2024</w:t>
      </w:r>
      <w:r w:rsidR="00501C06">
        <w:t xml:space="preserve"> t</w:t>
      </w:r>
      <w:r w:rsidR="00501C06" w:rsidRPr="00501C06">
        <w:t>ransect</w:t>
      </w:r>
      <w:r w:rsidR="00501C06">
        <w:t>.</w:t>
      </w:r>
    </w:p>
    <w:p w14:paraId="231031B8" w14:textId="77777777" w:rsidR="00FD5EFF" w:rsidRPr="00FD5EFF" w:rsidRDefault="00FD5EFF" w:rsidP="00FD5EFF">
      <w:pPr>
        <w:spacing w:after="0" w:line="240" w:lineRule="auto"/>
        <w:rPr>
          <w:u w:val="single"/>
        </w:rPr>
      </w:pPr>
      <w:r w:rsidRPr="00FD5EFF">
        <w:rPr>
          <w:u w:val="single"/>
        </w:rPr>
        <w:t>Clay Loam 78B ecological site:</w:t>
      </w:r>
    </w:p>
    <w:p w14:paraId="3F501FE8" w14:textId="77777777" w:rsidR="00FD5EFF" w:rsidRDefault="00FD5EFF" w:rsidP="00FD5EFF">
      <w:pPr>
        <w:spacing w:after="0" w:line="240" w:lineRule="auto"/>
      </w:pPr>
      <w:r>
        <w:t xml:space="preserve">Total Estimated Herbaceous production = 3,768 </w:t>
      </w:r>
      <w:proofErr w:type="spellStart"/>
      <w:r>
        <w:t>lbs</w:t>
      </w:r>
      <w:proofErr w:type="spellEnd"/>
      <w:r>
        <w:t>/ac (does not include trees or shrubs)</w:t>
      </w:r>
    </w:p>
    <w:p w14:paraId="7FE4ECBB" w14:textId="77777777" w:rsidR="00FD5EFF" w:rsidRDefault="00FD5EFF" w:rsidP="00FD5EFF">
      <w:pPr>
        <w:spacing w:after="0" w:line="240" w:lineRule="auto"/>
      </w:pPr>
      <w:r>
        <w:t xml:space="preserve">Total Estimated Cheatgrass production = 1,432 </w:t>
      </w:r>
      <w:proofErr w:type="spellStart"/>
      <w:r>
        <w:t>lbs</w:t>
      </w:r>
      <w:proofErr w:type="spellEnd"/>
      <w:r>
        <w:t>/ac</w:t>
      </w:r>
    </w:p>
    <w:p w14:paraId="3E59E9FF" w14:textId="77777777" w:rsidR="00B61CAD" w:rsidRDefault="00FD5EFF" w:rsidP="00FD5EFF">
      <w:pPr>
        <w:spacing w:after="0" w:line="240" w:lineRule="auto"/>
      </w:pPr>
      <w:r>
        <w:t>Cheatgrass % of total production = 38%</w:t>
      </w:r>
    </w:p>
    <w:p w14:paraId="5961A757" w14:textId="0981F10E" w:rsidR="00B61CAD" w:rsidRDefault="00B61CAD" w:rsidP="00FD5EFF">
      <w:pPr>
        <w:spacing w:after="0" w:line="240" w:lineRule="auto"/>
      </w:pPr>
    </w:p>
    <w:p w14:paraId="10BB766C" w14:textId="522F2FE6" w:rsidR="00501C06" w:rsidRDefault="00501C06" w:rsidP="00FD5EFF">
      <w:pPr>
        <w:spacing w:after="0" w:line="240" w:lineRule="auto"/>
      </w:pPr>
      <w:r>
        <w:rPr>
          <w:noProof/>
        </w:rPr>
        <w:lastRenderedPageBreak/>
        <w:drawing>
          <wp:inline distT="0" distB="0" distL="0" distR="0" wp14:anchorId="774D751A" wp14:editId="09F14C58">
            <wp:extent cx="5943600" cy="4457700"/>
            <wp:effectExtent l="0" t="0" r="0" b="0"/>
            <wp:docPr id="1896381648" name="Picture 11" descr="A square frame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81648" name="Picture 11" descr="A square frame in the gras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9A7EF28" w14:textId="480A4394" w:rsidR="00501C06" w:rsidRDefault="00501C06" w:rsidP="00FD5EFF">
      <w:pPr>
        <w:spacing w:after="0" w:line="240" w:lineRule="auto"/>
      </w:pPr>
      <w:r>
        <w:t xml:space="preserve">Figure 5. </w:t>
      </w:r>
      <w:r w:rsidRPr="00501C06">
        <w:t>Hardeman Co</w:t>
      </w:r>
      <w:r>
        <w:t xml:space="preserve">unty, </w:t>
      </w:r>
      <w:r w:rsidRPr="00501C06">
        <w:t>Clay Loam</w:t>
      </w:r>
      <w:r>
        <w:t xml:space="preserve">, </w:t>
      </w:r>
      <w:r w:rsidRPr="00501C06">
        <w:t>6-2024</w:t>
      </w:r>
      <w:r>
        <w:t xml:space="preserve"> f</w:t>
      </w:r>
      <w:r w:rsidRPr="00501C06">
        <w:t>rame</w:t>
      </w:r>
      <w:r>
        <w:t>.</w:t>
      </w:r>
    </w:p>
    <w:p w14:paraId="2C7370D9" w14:textId="77777777" w:rsidR="00501C06" w:rsidRDefault="00501C06" w:rsidP="00FD5EFF">
      <w:pPr>
        <w:spacing w:after="0" w:line="240" w:lineRule="auto"/>
      </w:pPr>
    </w:p>
    <w:p w14:paraId="668412AE" w14:textId="30A9EDDD" w:rsidR="00501C06" w:rsidRDefault="00501C06" w:rsidP="00FD5EFF">
      <w:pPr>
        <w:spacing w:after="0" w:line="240" w:lineRule="auto"/>
      </w:pPr>
      <w:r>
        <w:rPr>
          <w:noProof/>
        </w:rPr>
        <w:lastRenderedPageBreak/>
        <w:drawing>
          <wp:inline distT="0" distB="0" distL="0" distR="0" wp14:anchorId="02170B49" wp14:editId="71634F97">
            <wp:extent cx="5943600" cy="4457700"/>
            <wp:effectExtent l="0" t="0" r="0" b="0"/>
            <wp:docPr id="36719151" name="Picture 12" descr="A field of grass with trees and a black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9151" name="Picture 12" descr="A field of grass with trees and a black sign&#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DE4BE08" w14:textId="290E4234" w:rsidR="00501C06" w:rsidRDefault="00501C06" w:rsidP="00FD5EFF">
      <w:pPr>
        <w:spacing w:after="0" w:line="240" w:lineRule="auto"/>
      </w:pPr>
      <w:r>
        <w:t xml:space="preserve">Figure 6. </w:t>
      </w:r>
      <w:r w:rsidRPr="00501C06">
        <w:t>Hardeman Co</w:t>
      </w:r>
      <w:r>
        <w:t xml:space="preserve">unty, </w:t>
      </w:r>
      <w:r w:rsidRPr="00501C06">
        <w:t>Clay Loam</w:t>
      </w:r>
      <w:r>
        <w:t xml:space="preserve">, </w:t>
      </w:r>
      <w:r w:rsidRPr="00501C06">
        <w:t>6-2024</w:t>
      </w:r>
      <w:r>
        <w:t xml:space="preserve"> t</w:t>
      </w:r>
      <w:r w:rsidRPr="00501C06">
        <w:t>ransect</w:t>
      </w:r>
      <w:r>
        <w:t>.</w:t>
      </w:r>
    </w:p>
    <w:sectPr w:rsidR="00501C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EB7"/>
    <w:rsid w:val="00501C06"/>
    <w:rsid w:val="00A47B02"/>
    <w:rsid w:val="00B61CAD"/>
    <w:rsid w:val="00BF04D1"/>
    <w:rsid w:val="00EC2763"/>
    <w:rsid w:val="00EE0C12"/>
    <w:rsid w:val="00F81EB7"/>
    <w:rsid w:val="00FD5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22092A"/>
  <w15:chartTrackingRefBased/>
  <w15:docId w15:val="{BF0581FF-0639-BD40-AF05-8095305BE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1E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1E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1E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1E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1E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1E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1E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1E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1E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E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1E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1E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1E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1E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1E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1E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1E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1EB7"/>
    <w:rPr>
      <w:rFonts w:eastAsiaTheme="majorEastAsia" w:cstheme="majorBidi"/>
      <w:color w:val="272727" w:themeColor="text1" w:themeTint="D8"/>
    </w:rPr>
  </w:style>
  <w:style w:type="paragraph" w:styleId="Title">
    <w:name w:val="Title"/>
    <w:basedOn w:val="Normal"/>
    <w:next w:val="Normal"/>
    <w:link w:val="TitleChar"/>
    <w:uiPriority w:val="10"/>
    <w:qFormat/>
    <w:rsid w:val="00F81E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1E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1E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1E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1EB7"/>
    <w:pPr>
      <w:spacing w:before="160"/>
      <w:jc w:val="center"/>
    </w:pPr>
    <w:rPr>
      <w:i/>
      <w:iCs/>
      <w:color w:val="404040" w:themeColor="text1" w:themeTint="BF"/>
    </w:rPr>
  </w:style>
  <w:style w:type="character" w:customStyle="1" w:styleId="QuoteChar">
    <w:name w:val="Quote Char"/>
    <w:basedOn w:val="DefaultParagraphFont"/>
    <w:link w:val="Quote"/>
    <w:uiPriority w:val="29"/>
    <w:rsid w:val="00F81EB7"/>
    <w:rPr>
      <w:i/>
      <w:iCs/>
      <w:color w:val="404040" w:themeColor="text1" w:themeTint="BF"/>
    </w:rPr>
  </w:style>
  <w:style w:type="paragraph" w:styleId="ListParagraph">
    <w:name w:val="List Paragraph"/>
    <w:basedOn w:val="Normal"/>
    <w:uiPriority w:val="34"/>
    <w:qFormat/>
    <w:rsid w:val="00F81EB7"/>
    <w:pPr>
      <w:ind w:left="720"/>
      <w:contextualSpacing/>
    </w:pPr>
  </w:style>
  <w:style w:type="character" w:styleId="IntenseEmphasis">
    <w:name w:val="Intense Emphasis"/>
    <w:basedOn w:val="DefaultParagraphFont"/>
    <w:uiPriority w:val="21"/>
    <w:qFormat/>
    <w:rsid w:val="00F81EB7"/>
    <w:rPr>
      <w:i/>
      <w:iCs/>
      <w:color w:val="0F4761" w:themeColor="accent1" w:themeShade="BF"/>
    </w:rPr>
  </w:style>
  <w:style w:type="paragraph" w:styleId="IntenseQuote">
    <w:name w:val="Intense Quote"/>
    <w:basedOn w:val="Normal"/>
    <w:next w:val="Normal"/>
    <w:link w:val="IntenseQuoteChar"/>
    <w:uiPriority w:val="30"/>
    <w:qFormat/>
    <w:rsid w:val="00F81E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1EB7"/>
    <w:rPr>
      <w:i/>
      <w:iCs/>
      <w:color w:val="0F4761" w:themeColor="accent1" w:themeShade="BF"/>
    </w:rPr>
  </w:style>
  <w:style w:type="character" w:styleId="IntenseReference">
    <w:name w:val="Intense Reference"/>
    <w:basedOn w:val="DefaultParagraphFont"/>
    <w:uiPriority w:val="32"/>
    <w:qFormat/>
    <w:rsid w:val="00F81EB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431716">
      <w:bodyDiv w:val="1"/>
      <w:marLeft w:val="0"/>
      <w:marRight w:val="0"/>
      <w:marTop w:val="0"/>
      <w:marBottom w:val="0"/>
      <w:divBdr>
        <w:top w:val="none" w:sz="0" w:space="0" w:color="auto"/>
        <w:left w:val="none" w:sz="0" w:space="0" w:color="auto"/>
        <w:bottom w:val="none" w:sz="0" w:space="0" w:color="auto"/>
        <w:right w:val="none" w:sz="0" w:space="0" w:color="auto"/>
      </w:divBdr>
    </w:div>
    <w:div w:id="87261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760</Words>
  <Characters>4333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L. Treadwell</dc:creator>
  <cp:keywords/>
  <dc:description/>
  <cp:lastModifiedBy>Morgan L. Treadwell</cp:lastModifiedBy>
  <cp:revision>1</cp:revision>
  <dcterms:created xsi:type="dcterms:W3CDTF">2024-10-11T17:09:00Z</dcterms:created>
  <dcterms:modified xsi:type="dcterms:W3CDTF">2024-10-11T17:28:00Z</dcterms:modified>
</cp:coreProperties>
</file>