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4C" w:rsidRPr="00C26307" w:rsidRDefault="00C26307" w:rsidP="007E6023">
      <w:pPr>
        <w:tabs>
          <w:tab w:val="left" w:pos="3686"/>
        </w:tabs>
        <w:spacing w:before="120" w:after="0" w:line="240" w:lineRule="auto"/>
        <w:jc w:val="center"/>
        <w:rPr>
          <w:rFonts w:ascii="Times New Roman" w:hAnsi="Times New Roman" w:cs="Times New Roman"/>
          <w:iCs/>
          <w:sz w:val="20"/>
          <w:szCs w:val="20"/>
          <w:lang w:val="en-US"/>
        </w:rPr>
      </w:pPr>
      <w:r>
        <w:rPr>
          <w:rFonts w:ascii="Times New Roman" w:eastAsia="PMingLiU" w:hAnsi="Times New Roman" w:cs="Times New Roman"/>
          <w:b/>
          <w:sz w:val="28"/>
          <w:szCs w:val="24"/>
          <w:lang w:val="en-US" w:eastAsia="en-US"/>
        </w:rPr>
        <w:t xml:space="preserve">The </w:t>
      </w:r>
      <w:r w:rsidR="00190526">
        <w:rPr>
          <w:rFonts w:ascii="Times New Roman" w:eastAsia="PMingLiU" w:hAnsi="Times New Roman" w:cs="Times New Roman"/>
          <w:b/>
          <w:sz w:val="28"/>
          <w:szCs w:val="24"/>
          <w:lang w:val="en-US" w:eastAsia="en-US"/>
        </w:rPr>
        <w:t>R</w:t>
      </w:r>
      <w:r w:rsidRPr="00C26307">
        <w:rPr>
          <w:rFonts w:ascii="Times New Roman" w:eastAsia="PMingLiU" w:hAnsi="Times New Roman" w:cs="Times New Roman"/>
          <w:b/>
          <w:sz w:val="28"/>
          <w:szCs w:val="24"/>
          <w:lang w:val="en-US" w:eastAsia="en-US"/>
        </w:rPr>
        <w:t xml:space="preserve">elationship </w:t>
      </w:r>
      <w:r>
        <w:rPr>
          <w:rFonts w:ascii="Times New Roman" w:eastAsia="PMingLiU" w:hAnsi="Times New Roman" w:cs="Times New Roman"/>
          <w:b/>
          <w:sz w:val="28"/>
          <w:szCs w:val="24"/>
          <w:lang w:val="en-US" w:eastAsia="en-US"/>
        </w:rPr>
        <w:t xml:space="preserve">between </w:t>
      </w:r>
      <w:r w:rsidR="00190526">
        <w:rPr>
          <w:rFonts w:ascii="Times New Roman" w:eastAsia="PMingLiU" w:hAnsi="Times New Roman" w:cs="Times New Roman"/>
          <w:b/>
          <w:sz w:val="28"/>
          <w:szCs w:val="24"/>
          <w:lang w:val="en-US" w:eastAsia="en-US"/>
        </w:rPr>
        <w:t>H</w:t>
      </w:r>
      <w:r>
        <w:rPr>
          <w:rFonts w:ascii="Times New Roman" w:eastAsia="PMingLiU" w:hAnsi="Times New Roman" w:cs="Times New Roman"/>
          <w:b/>
          <w:sz w:val="28"/>
          <w:szCs w:val="24"/>
          <w:lang w:val="en-US" w:eastAsia="en-US"/>
        </w:rPr>
        <w:t xml:space="preserve">otel </w:t>
      </w:r>
      <w:r w:rsidR="00190526">
        <w:rPr>
          <w:rFonts w:ascii="Times New Roman" w:eastAsia="PMingLiU" w:hAnsi="Times New Roman" w:cs="Times New Roman"/>
          <w:b/>
          <w:sz w:val="28"/>
          <w:szCs w:val="24"/>
          <w:lang w:val="en-US" w:eastAsia="en-US"/>
        </w:rPr>
        <w:t>F</w:t>
      </w:r>
      <w:r w:rsidRPr="00C26307">
        <w:rPr>
          <w:rFonts w:ascii="Times New Roman" w:eastAsia="PMingLiU" w:hAnsi="Times New Roman" w:cs="Times New Roman"/>
          <w:b/>
          <w:sz w:val="28"/>
          <w:szCs w:val="24"/>
          <w:lang w:val="en-US" w:eastAsia="en-US"/>
        </w:rPr>
        <w:t>inanci</w:t>
      </w:r>
      <w:r w:rsidR="00EB1A27">
        <w:rPr>
          <w:rFonts w:ascii="Times New Roman" w:eastAsia="PMingLiU" w:hAnsi="Times New Roman" w:cs="Times New Roman"/>
          <w:b/>
          <w:sz w:val="28"/>
          <w:szCs w:val="24"/>
          <w:lang w:val="en-US" w:eastAsia="en-US"/>
        </w:rPr>
        <w:t xml:space="preserve">al </w:t>
      </w:r>
      <w:r w:rsidR="00190526">
        <w:rPr>
          <w:rFonts w:ascii="Times New Roman" w:eastAsia="PMingLiU" w:hAnsi="Times New Roman" w:cs="Times New Roman"/>
          <w:b/>
          <w:sz w:val="28"/>
          <w:szCs w:val="24"/>
          <w:lang w:val="en-US" w:eastAsia="en-US"/>
        </w:rPr>
        <w:t>P</w:t>
      </w:r>
      <w:r w:rsidR="00EB1A27">
        <w:rPr>
          <w:rFonts w:ascii="Times New Roman" w:eastAsia="PMingLiU" w:hAnsi="Times New Roman" w:cs="Times New Roman"/>
          <w:b/>
          <w:sz w:val="28"/>
          <w:szCs w:val="24"/>
          <w:lang w:val="en-US" w:eastAsia="en-US"/>
        </w:rPr>
        <w:t>erformance</w:t>
      </w:r>
      <w:r w:rsidR="00E829CB">
        <w:rPr>
          <w:rFonts w:ascii="Times New Roman" w:eastAsia="PMingLiU" w:hAnsi="Times New Roman" w:cs="Times New Roman"/>
          <w:b/>
          <w:sz w:val="28"/>
          <w:szCs w:val="24"/>
          <w:lang w:val="en-US" w:eastAsia="en-US"/>
        </w:rPr>
        <w:t xml:space="preserve">, </w:t>
      </w:r>
      <w:r w:rsidR="00EB1A27">
        <w:rPr>
          <w:rFonts w:ascii="Times New Roman" w:eastAsia="PMingLiU" w:hAnsi="Times New Roman" w:cs="Times New Roman"/>
          <w:b/>
          <w:sz w:val="28"/>
          <w:szCs w:val="24"/>
          <w:lang w:val="en-US" w:eastAsia="en-US"/>
        </w:rPr>
        <w:t xml:space="preserve">IT </w:t>
      </w:r>
      <w:r w:rsidR="00190526">
        <w:rPr>
          <w:rFonts w:ascii="Times New Roman" w:eastAsia="PMingLiU" w:hAnsi="Times New Roman" w:cs="Times New Roman"/>
          <w:b/>
          <w:sz w:val="28"/>
          <w:szCs w:val="24"/>
          <w:lang w:val="en-US" w:eastAsia="en-US"/>
        </w:rPr>
        <w:t>S</w:t>
      </w:r>
      <w:r w:rsidR="00EB1A27">
        <w:rPr>
          <w:rFonts w:ascii="Times New Roman" w:eastAsia="PMingLiU" w:hAnsi="Times New Roman" w:cs="Times New Roman"/>
          <w:b/>
          <w:sz w:val="28"/>
          <w:szCs w:val="24"/>
          <w:lang w:val="en-US" w:eastAsia="en-US"/>
        </w:rPr>
        <w:t>pending</w:t>
      </w:r>
      <w:r w:rsidR="007E6023">
        <w:rPr>
          <w:rFonts w:ascii="Times New Roman" w:eastAsia="PMingLiU" w:hAnsi="Times New Roman" w:cs="Times New Roman"/>
          <w:b/>
          <w:sz w:val="28"/>
          <w:szCs w:val="24"/>
          <w:lang w:val="en-US" w:eastAsia="en-US"/>
        </w:rPr>
        <w:t xml:space="preserve"> and</w:t>
      </w:r>
      <w:r w:rsidR="00B374F1">
        <w:rPr>
          <w:rFonts w:ascii="Times New Roman" w:eastAsia="PMingLiU" w:hAnsi="Times New Roman" w:cs="Times New Roman"/>
          <w:b/>
          <w:sz w:val="28"/>
          <w:szCs w:val="24"/>
          <w:lang w:val="en-US" w:eastAsia="en-US"/>
        </w:rPr>
        <w:t xml:space="preserve"> IT</w:t>
      </w:r>
      <w:r w:rsidRPr="00C26307">
        <w:rPr>
          <w:rFonts w:ascii="Times New Roman" w:eastAsia="PMingLiU" w:hAnsi="Times New Roman" w:cs="Times New Roman"/>
          <w:b/>
          <w:sz w:val="28"/>
          <w:szCs w:val="24"/>
          <w:lang w:val="en-US" w:eastAsia="en-US"/>
        </w:rPr>
        <w:t xml:space="preserve"> </w:t>
      </w:r>
      <w:r w:rsidR="00EB7399">
        <w:rPr>
          <w:rFonts w:ascii="Times New Roman" w:eastAsia="PMingLiU" w:hAnsi="Times New Roman" w:cs="Times New Roman"/>
          <w:b/>
          <w:sz w:val="28"/>
          <w:szCs w:val="24"/>
          <w:lang w:val="en-US" w:eastAsia="en-US"/>
        </w:rPr>
        <w:t>“</w:t>
      </w:r>
      <w:r w:rsidR="00190526">
        <w:rPr>
          <w:rFonts w:ascii="Times New Roman" w:eastAsia="PMingLiU" w:hAnsi="Times New Roman" w:cs="Times New Roman"/>
          <w:b/>
          <w:sz w:val="28"/>
          <w:szCs w:val="24"/>
          <w:lang w:val="en-US" w:eastAsia="en-US"/>
        </w:rPr>
        <w:t>V</w:t>
      </w:r>
      <w:r>
        <w:rPr>
          <w:rFonts w:ascii="Times New Roman" w:eastAsia="PMingLiU" w:hAnsi="Times New Roman" w:cs="Times New Roman"/>
          <w:b/>
          <w:sz w:val="28"/>
          <w:szCs w:val="24"/>
          <w:lang w:val="en-US" w:eastAsia="en-US"/>
        </w:rPr>
        <w:t>alue</w:t>
      </w:r>
      <w:r w:rsidR="00EB7399">
        <w:rPr>
          <w:rFonts w:ascii="Times New Roman" w:eastAsia="PMingLiU" w:hAnsi="Times New Roman" w:cs="Times New Roman"/>
          <w:b/>
          <w:sz w:val="28"/>
          <w:szCs w:val="24"/>
          <w:lang w:val="en-US" w:eastAsia="en-US"/>
        </w:rPr>
        <w:t>”</w:t>
      </w:r>
    </w:p>
    <w:p w:rsidR="00983A99" w:rsidRDefault="00190526" w:rsidP="00983A99">
      <w:pPr>
        <w:pStyle w:val="Author"/>
        <w:rPr>
          <w:rFonts w:asciiTheme="minorHAnsi" w:eastAsiaTheme="minorEastAsia" w:hAnsiTheme="minorHAnsi" w:cstheme="minorBidi"/>
          <w:sz w:val="22"/>
          <w:szCs w:val="22"/>
          <w:lang w:eastAsia="zh-TW"/>
        </w:rPr>
      </w:pPr>
      <w:r>
        <w:t>Hilary Catherine Murphy</w:t>
      </w:r>
      <w:r w:rsidR="00983A99">
        <w:br/>
      </w:r>
      <w:proofErr w:type="spellStart"/>
      <w:r w:rsidR="00983A99">
        <w:t>Ecole</w:t>
      </w:r>
      <w:proofErr w:type="spellEnd"/>
      <w:r w:rsidR="00983A99">
        <w:t xml:space="preserve"> </w:t>
      </w:r>
      <w:proofErr w:type="spellStart"/>
      <w:r w:rsidR="00983A99">
        <w:t>Hoteliere</w:t>
      </w:r>
      <w:proofErr w:type="spellEnd"/>
      <w:r w:rsidR="00983A99">
        <w:t xml:space="preserve"> de Lausanne, Switzerland</w:t>
      </w:r>
      <w:r w:rsidR="00983A99">
        <w:br/>
        <w:t>hilary.murphy@ehl.ch</w:t>
      </w:r>
    </w:p>
    <w:p w:rsidR="00DE120E" w:rsidRPr="00C26307" w:rsidRDefault="00DE120E" w:rsidP="00BA0D4C">
      <w:pPr>
        <w:spacing w:before="240" w:after="120" w:line="240" w:lineRule="auto"/>
        <w:jc w:val="center"/>
        <w:rPr>
          <w:rFonts w:ascii="Times New Roman" w:eastAsia="PMingLiU" w:hAnsi="Times New Roman" w:cs="Times New Roman"/>
          <w:b/>
          <w:noProof/>
          <w:sz w:val="24"/>
          <w:szCs w:val="20"/>
          <w:lang w:val="en-US" w:eastAsia="en-US"/>
        </w:rPr>
      </w:pPr>
      <w:r w:rsidRPr="00C26307">
        <w:rPr>
          <w:rFonts w:ascii="Times New Roman" w:eastAsia="PMingLiU" w:hAnsi="Times New Roman" w:cs="Times New Roman"/>
          <w:b/>
          <w:noProof/>
          <w:sz w:val="24"/>
          <w:szCs w:val="20"/>
          <w:lang w:val="en-US" w:eastAsia="en-US"/>
        </w:rPr>
        <w:t>Abstract</w:t>
      </w:r>
    </w:p>
    <w:p w:rsidR="00C26307" w:rsidRPr="00C26307" w:rsidRDefault="007E6023" w:rsidP="001122C4">
      <w:pPr>
        <w:pStyle w:val="StyleAbstractBody"/>
        <w:rPr>
          <w:szCs w:val="18"/>
          <w:lang w:val="en-US"/>
        </w:rPr>
      </w:pPr>
      <w:r>
        <w:rPr>
          <w:szCs w:val="18"/>
          <w:lang w:val="en-US"/>
        </w:rPr>
        <w:t>This research note</w:t>
      </w:r>
      <w:r w:rsidR="00C26307" w:rsidRPr="00C26307">
        <w:rPr>
          <w:szCs w:val="18"/>
          <w:lang w:val="en-US"/>
        </w:rPr>
        <w:t xml:space="preserve"> examines the relationship between hotel revenues and IT spend  and explores the concept of IT value  by linking explicit financial data </w:t>
      </w:r>
      <w:r w:rsidR="00C26307">
        <w:rPr>
          <w:szCs w:val="18"/>
          <w:lang w:val="en-US"/>
        </w:rPr>
        <w:t xml:space="preserve">to IT spend at property level. </w:t>
      </w:r>
      <w:r w:rsidR="00C26307" w:rsidRPr="00C26307">
        <w:rPr>
          <w:szCs w:val="18"/>
          <w:lang w:val="en-US"/>
        </w:rPr>
        <w:t>A quantitative method is employed, with an online questionnaire completed by 150 hotel properties. Results show a relationship between IT spend and gross revenues and that IT value is high, at least compared to other sectors.</w:t>
      </w:r>
    </w:p>
    <w:p w:rsidR="00FF040B" w:rsidRDefault="007C147D" w:rsidP="001122C4">
      <w:pPr>
        <w:pStyle w:val="StyleAbstractBody"/>
      </w:pPr>
      <w:r w:rsidRPr="00DE120E">
        <w:rPr>
          <w:b/>
        </w:rPr>
        <w:t>Keywords:</w:t>
      </w:r>
      <w:r w:rsidR="00CC49B6" w:rsidRPr="00DE120E">
        <w:rPr>
          <w:b/>
        </w:rPr>
        <w:t xml:space="preserve"> </w:t>
      </w:r>
      <w:r w:rsidR="00C26307" w:rsidRPr="00C26307">
        <w:rPr>
          <w:lang w:val="en-US"/>
        </w:rPr>
        <w:t>Hotel property, IT spend, IT value</w:t>
      </w:r>
    </w:p>
    <w:p w:rsidR="0012096F" w:rsidRPr="00190526" w:rsidRDefault="000840E2" w:rsidP="00190526">
      <w:pPr>
        <w:pStyle w:val="Heading1"/>
        <w:numPr>
          <w:ilvl w:val="0"/>
          <w:numId w:val="12"/>
        </w:numPr>
      </w:pPr>
      <w:r w:rsidRPr="00190526">
        <w:t>Introduction</w:t>
      </w:r>
    </w:p>
    <w:p w:rsidR="00C26307" w:rsidRDefault="00C26307" w:rsidP="00AD0A40">
      <w:pPr>
        <w:spacing w:line="240" w:lineRule="auto"/>
        <w:jc w:val="both"/>
        <w:rPr>
          <w:rFonts w:ascii="Times New Roman" w:hAnsi="Times New Roman"/>
          <w:sz w:val="20"/>
          <w:lang w:eastAsia="en-US"/>
        </w:rPr>
      </w:pPr>
      <w:r w:rsidRPr="00C26307">
        <w:rPr>
          <w:rFonts w:ascii="Times New Roman" w:hAnsi="Times New Roman"/>
          <w:sz w:val="20"/>
          <w:lang w:eastAsia="en-US"/>
        </w:rPr>
        <w:t>Information technology (IT) is critical to all business sectors in term of customer services, financial cost control, and strategic planning (</w:t>
      </w:r>
      <w:proofErr w:type="spellStart"/>
      <w:r w:rsidRPr="00C26307">
        <w:rPr>
          <w:rFonts w:ascii="Times New Roman" w:hAnsi="Times New Roman"/>
          <w:sz w:val="20"/>
          <w:lang w:eastAsia="en-US"/>
        </w:rPr>
        <w:t>Laudon</w:t>
      </w:r>
      <w:proofErr w:type="spellEnd"/>
      <w:r w:rsidRPr="00C26307">
        <w:rPr>
          <w:rFonts w:ascii="Times New Roman" w:hAnsi="Times New Roman"/>
          <w:sz w:val="20"/>
          <w:lang w:eastAsia="en-US"/>
        </w:rPr>
        <w:t xml:space="preserve"> &amp; </w:t>
      </w:r>
      <w:proofErr w:type="spellStart"/>
      <w:r w:rsidRPr="00C26307">
        <w:rPr>
          <w:rFonts w:ascii="Times New Roman" w:hAnsi="Times New Roman"/>
          <w:sz w:val="20"/>
          <w:lang w:eastAsia="en-US"/>
        </w:rPr>
        <w:t>Laudon</w:t>
      </w:r>
      <w:proofErr w:type="spellEnd"/>
      <w:r w:rsidRPr="00C26307">
        <w:rPr>
          <w:rFonts w:ascii="Times New Roman" w:hAnsi="Times New Roman"/>
          <w:sz w:val="20"/>
          <w:lang w:eastAsia="en-US"/>
        </w:rPr>
        <w:t>, 2010). Sunny et al. (2005) established the relationship between IT investments and performance improvements in the hotel sector at five levels</w:t>
      </w:r>
      <w:r w:rsidR="00EB7399">
        <w:rPr>
          <w:rFonts w:ascii="Times New Roman" w:hAnsi="Times New Roman"/>
          <w:sz w:val="20"/>
          <w:lang w:eastAsia="en-US"/>
        </w:rPr>
        <w:t>;</w:t>
      </w:r>
      <w:r w:rsidRPr="00C26307">
        <w:rPr>
          <w:rFonts w:ascii="Times New Roman" w:hAnsi="Times New Roman"/>
          <w:sz w:val="20"/>
          <w:lang w:eastAsia="en-US"/>
        </w:rPr>
        <w:t xml:space="preserve"> enhanced annual sales, reduced operating costs, increased occupancy rate, greater level of repeat business, and enhanced positive word of mouth and identifies a significant positive impact on performance in all but guest-related interface applications.</w:t>
      </w:r>
      <w:r w:rsidR="00AD0A40">
        <w:rPr>
          <w:rFonts w:ascii="Times New Roman" w:hAnsi="Times New Roman"/>
          <w:sz w:val="20"/>
          <w:lang w:eastAsia="en-US"/>
        </w:rPr>
        <w:t xml:space="preserve"> Th</w:t>
      </w:r>
      <w:r w:rsidR="00EB7399">
        <w:rPr>
          <w:rFonts w:ascii="Times New Roman" w:hAnsi="Times New Roman"/>
          <w:sz w:val="20"/>
          <w:lang w:eastAsia="en-US"/>
        </w:rPr>
        <w:t xml:space="preserve">is paper specifically examines </w:t>
      </w:r>
      <w:r w:rsidR="00AD0A40">
        <w:rPr>
          <w:rFonts w:ascii="Times New Roman" w:hAnsi="Times New Roman"/>
          <w:sz w:val="20"/>
          <w:lang w:eastAsia="en-US"/>
        </w:rPr>
        <w:t xml:space="preserve">IT </w:t>
      </w:r>
      <w:r w:rsidR="00EB7399">
        <w:rPr>
          <w:rFonts w:ascii="Times New Roman" w:hAnsi="Times New Roman"/>
          <w:sz w:val="20"/>
          <w:lang w:eastAsia="en-US"/>
        </w:rPr>
        <w:t>“</w:t>
      </w:r>
      <w:r w:rsidR="00AD0A40">
        <w:rPr>
          <w:rFonts w:ascii="Times New Roman" w:hAnsi="Times New Roman"/>
          <w:sz w:val="20"/>
          <w:lang w:eastAsia="en-US"/>
        </w:rPr>
        <w:t>value” and the relationship between IT spend and financial performance.</w:t>
      </w:r>
    </w:p>
    <w:p w:rsidR="00AD0A40" w:rsidRPr="00190526" w:rsidRDefault="00AD0A40" w:rsidP="00190526">
      <w:pPr>
        <w:pStyle w:val="Heading1"/>
        <w:numPr>
          <w:ilvl w:val="0"/>
          <w:numId w:val="12"/>
        </w:numPr>
        <w:tabs>
          <w:tab w:val="num" w:pos="340"/>
        </w:tabs>
      </w:pPr>
      <w:r w:rsidRPr="00190526">
        <w:t>Literature Review</w:t>
      </w:r>
    </w:p>
    <w:p w:rsidR="00C26307" w:rsidRPr="00C26307" w:rsidRDefault="00C26307" w:rsidP="001122C4">
      <w:pPr>
        <w:spacing w:line="240" w:lineRule="auto"/>
        <w:jc w:val="both"/>
        <w:rPr>
          <w:rFonts w:ascii="Times New Roman" w:hAnsi="Times New Roman"/>
          <w:sz w:val="20"/>
          <w:lang w:eastAsia="en-US"/>
        </w:rPr>
      </w:pPr>
      <w:r w:rsidRPr="00C26307">
        <w:rPr>
          <w:rFonts w:ascii="Times New Roman" w:hAnsi="Times New Roman"/>
          <w:sz w:val="20"/>
          <w:lang w:eastAsia="en-US"/>
        </w:rPr>
        <w:t>Proving a link between IT investments and business performance has been a nearly impossible challenge for organizations, particularly at the property level. “However, despite unclear causality, on an industry level there appear to be interesting relationships between the level of investment and the operating profits of organizations… many organizations with high operating margins also have high IT spending as a percent</w:t>
      </w:r>
      <w:r w:rsidR="007E6023">
        <w:rPr>
          <w:rFonts w:ascii="Times New Roman" w:hAnsi="Times New Roman"/>
          <w:sz w:val="20"/>
          <w:lang w:eastAsia="en-US"/>
        </w:rPr>
        <w:t>age</w:t>
      </w:r>
      <w:r w:rsidRPr="00C26307">
        <w:rPr>
          <w:rFonts w:ascii="Times New Roman" w:hAnsi="Times New Roman"/>
          <w:sz w:val="20"/>
          <w:lang w:eastAsia="en-US"/>
        </w:rPr>
        <w:t xml:space="preserve"> of revenue. This view should not imply that, by investing more in IT, an organization should expect to get better profitability</w:t>
      </w:r>
      <w:r w:rsidR="00EB7399">
        <w:rPr>
          <w:rFonts w:ascii="Times New Roman" w:hAnsi="Times New Roman"/>
          <w:sz w:val="20"/>
          <w:lang w:eastAsia="en-US"/>
        </w:rPr>
        <w:t xml:space="preserve">, </w:t>
      </w:r>
      <w:r w:rsidRPr="00C26307">
        <w:rPr>
          <w:rFonts w:ascii="Times New Roman" w:hAnsi="Times New Roman"/>
          <w:sz w:val="20"/>
          <w:lang w:eastAsia="en-US"/>
        </w:rPr>
        <w:t xml:space="preserve">rather, it should simply outline how different industries behave under varied economic conditions.” (Gartner, 2012, p29). What is clear is that financial </w:t>
      </w:r>
      <w:r w:rsidR="00943842" w:rsidRPr="00C26307">
        <w:rPr>
          <w:rFonts w:ascii="Times New Roman" w:hAnsi="Times New Roman"/>
          <w:sz w:val="20"/>
          <w:lang w:eastAsia="en-US"/>
        </w:rPr>
        <w:t xml:space="preserve">return </w:t>
      </w:r>
      <w:r w:rsidR="00943842">
        <w:rPr>
          <w:rFonts w:ascii="Times New Roman" w:hAnsi="Times New Roman"/>
          <w:sz w:val="20"/>
          <w:lang w:eastAsia="en-US"/>
        </w:rPr>
        <w:t>is</w:t>
      </w:r>
      <w:r w:rsidR="00EB7399">
        <w:rPr>
          <w:rFonts w:ascii="Times New Roman" w:hAnsi="Times New Roman"/>
          <w:sz w:val="20"/>
          <w:lang w:eastAsia="en-US"/>
        </w:rPr>
        <w:t xml:space="preserve"> not the only performance indicator and </w:t>
      </w:r>
      <w:r w:rsidRPr="00C26307">
        <w:rPr>
          <w:rFonts w:ascii="Times New Roman" w:hAnsi="Times New Roman"/>
          <w:sz w:val="20"/>
          <w:lang w:eastAsia="en-US"/>
        </w:rPr>
        <w:t>cannot be the only “benefit” from IT investment and we should consider “IT Value” (Gartner, 2012).  Gartne</w:t>
      </w:r>
      <w:r w:rsidR="00EB7399">
        <w:rPr>
          <w:rFonts w:ascii="Times New Roman" w:hAnsi="Times New Roman"/>
          <w:sz w:val="20"/>
          <w:lang w:eastAsia="en-US"/>
        </w:rPr>
        <w:t xml:space="preserve">r further defines “IT Value” as, </w:t>
      </w:r>
      <w:r w:rsidR="00EB7399" w:rsidRPr="00C26307">
        <w:rPr>
          <w:rFonts w:ascii="Times New Roman" w:hAnsi="Times New Roman"/>
          <w:sz w:val="20"/>
          <w:lang w:eastAsia="en-US"/>
        </w:rPr>
        <w:t>IT</w:t>
      </w:r>
      <w:r w:rsidRPr="00C26307">
        <w:rPr>
          <w:rFonts w:ascii="Times New Roman" w:hAnsi="Times New Roman"/>
          <w:sz w:val="20"/>
          <w:lang w:eastAsia="en-US"/>
        </w:rPr>
        <w:t xml:space="preserve"> </w:t>
      </w:r>
      <w:r w:rsidR="007E6023" w:rsidRPr="00C26307">
        <w:rPr>
          <w:rFonts w:ascii="Times New Roman" w:hAnsi="Times New Roman"/>
          <w:sz w:val="20"/>
          <w:lang w:eastAsia="en-US"/>
        </w:rPr>
        <w:t>spending</w:t>
      </w:r>
      <w:r w:rsidR="007E6023">
        <w:rPr>
          <w:rFonts w:ascii="Times New Roman" w:hAnsi="Times New Roman"/>
          <w:sz w:val="20"/>
          <w:lang w:eastAsia="en-US"/>
        </w:rPr>
        <w:t xml:space="preserve"> as a p</w:t>
      </w:r>
      <w:r w:rsidRPr="00C26307">
        <w:rPr>
          <w:rFonts w:ascii="Times New Roman" w:hAnsi="Times New Roman"/>
          <w:sz w:val="20"/>
          <w:lang w:eastAsia="en-US"/>
        </w:rPr>
        <w:t>ercentage of Gross Operating Revenue (GOR) versus Operating Margin.</w:t>
      </w:r>
    </w:p>
    <w:p w:rsidR="00983A99" w:rsidRDefault="00C26307" w:rsidP="001122C4">
      <w:pPr>
        <w:spacing w:line="240" w:lineRule="auto"/>
        <w:jc w:val="both"/>
        <w:rPr>
          <w:rFonts w:ascii="Times New Roman" w:hAnsi="Times New Roman"/>
          <w:sz w:val="20"/>
          <w:lang w:eastAsia="en-US"/>
        </w:rPr>
      </w:pPr>
      <w:r w:rsidRPr="00C26307">
        <w:rPr>
          <w:rFonts w:ascii="Times New Roman" w:hAnsi="Times New Roman"/>
          <w:sz w:val="20"/>
          <w:lang w:eastAsia="en-US"/>
        </w:rPr>
        <w:t xml:space="preserve">Justifying investment in technology and whether it improves performance has long been an issue for hotel properties, companies and groups (Gil-Padilla et al., 2008). This is further exacerbated by the contentious issue of the “productivity paradox” where gains through IT investment are </w:t>
      </w:r>
      <w:r w:rsidR="00EB7399" w:rsidRPr="00EB7399">
        <w:rPr>
          <w:rFonts w:ascii="Times New Roman" w:hAnsi="Times New Roman"/>
          <w:sz w:val="20"/>
          <w:lang w:eastAsia="en-US"/>
        </w:rPr>
        <w:t xml:space="preserve">deemed </w:t>
      </w:r>
      <w:r w:rsidRPr="00C26307">
        <w:rPr>
          <w:rFonts w:ascii="Times New Roman" w:hAnsi="Times New Roman"/>
          <w:sz w:val="20"/>
          <w:lang w:eastAsia="en-US"/>
        </w:rPr>
        <w:t xml:space="preserve">hard to quantify. However, </w:t>
      </w:r>
      <w:proofErr w:type="spellStart"/>
      <w:r w:rsidRPr="00C26307">
        <w:rPr>
          <w:rFonts w:ascii="Times New Roman" w:hAnsi="Times New Roman"/>
          <w:sz w:val="20"/>
          <w:lang w:eastAsia="en-US"/>
        </w:rPr>
        <w:t>Devaraj</w:t>
      </w:r>
      <w:proofErr w:type="spellEnd"/>
      <w:r w:rsidRPr="00C26307">
        <w:rPr>
          <w:rFonts w:ascii="Times New Roman" w:hAnsi="Times New Roman"/>
          <w:sz w:val="20"/>
          <w:lang w:eastAsia="en-US"/>
        </w:rPr>
        <w:t xml:space="preserve"> &amp; </w:t>
      </w:r>
      <w:proofErr w:type="spellStart"/>
      <w:r w:rsidRPr="00C26307">
        <w:rPr>
          <w:rFonts w:ascii="Times New Roman" w:hAnsi="Times New Roman"/>
          <w:sz w:val="20"/>
          <w:lang w:eastAsia="en-US"/>
        </w:rPr>
        <w:t>Kohli</w:t>
      </w:r>
      <w:proofErr w:type="spellEnd"/>
      <w:r w:rsidRPr="00C26307">
        <w:rPr>
          <w:rFonts w:ascii="Times New Roman" w:hAnsi="Times New Roman"/>
          <w:sz w:val="20"/>
          <w:lang w:eastAsia="en-US"/>
        </w:rPr>
        <w:t xml:space="preserve"> (2003) in their study, using a sample of hospitals, identified the “actual usage” </w:t>
      </w:r>
      <w:r w:rsidRPr="00C26307">
        <w:rPr>
          <w:rFonts w:ascii="Times New Roman" w:hAnsi="Times New Roman"/>
          <w:sz w:val="20"/>
          <w:lang w:eastAsia="en-US"/>
        </w:rPr>
        <w:lastRenderedPageBreak/>
        <w:t xml:space="preserve">of technology as a significant factor and they showed a positive and significant relationship between technology usage and revenue and </w:t>
      </w:r>
      <w:r w:rsidR="00EB7399">
        <w:rPr>
          <w:rFonts w:ascii="Times New Roman" w:hAnsi="Times New Roman"/>
          <w:sz w:val="20"/>
          <w:lang w:eastAsia="en-US"/>
        </w:rPr>
        <w:t xml:space="preserve">other </w:t>
      </w:r>
      <w:r w:rsidRPr="00C26307">
        <w:rPr>
          <w:rFonts w:ascii="Times New Roman" w:hAnsi="Times New Roman"/>
          <w:sz w:val="20"/>
          <w:lang w:eastAsia="en-US"/>
        </w:rPr>
        <w:t xml:space="preserve">quality measures. </w:t>
      </w:r>
      <w:proofErr w:type="spellStart"/>
      <w:r w:rsidRPr="00C26307">
        <w:rPr>
          <w:rFonts w:ascii="Times New Roman" w:hAnsi="Times New Roman"/>
          <w:sz w:val="20"/>
          <w:lang w:eastAsia="en-US"/>
        </w:rPr>
        <w:t>Marchand</w:t>
      </w:r>
      <w:proofErr w:type="spellEnd"/>
      <w:r w:rsidRPr="00C26307">
        <w:rPr>
          <w:rFonts w:ascii="Times New Roman" w:hAnsi="Times New Roman"/>
          <w:sz w:val="20"/>
          <w:lang w:eastAsia="en-US"/>
        </w:rPr>
        <w:t xml:space="preserve"> (2005) confirms that 25% of the business value of IT lies within the deployment and investment whereas 75% of the business value is in fact in factors related to the usage of the information. In the</w:t>
      </w:r>
      <w:r w:rsidR="00E829CB">
        <w:rPr>
          <w:rFonts w:ascii="Times New Roman" w:hAnsi="Times New Roman"/>
          <w:sz w:val="20"/>
          <w:lang w:eastAsia="en-US"/>
        </w:rPr>
        <w:t xml:space="preserve"> hotel sector</w:t>
      </w:r>
      <w:r w:rsidR="00943842">
        <w:rPr>
          <w:rFonts w:ascii="Times New Roman" w:hAnsi="Times New Roman"/>
          <w:sz w:val="20"/>
          <w:lang w:eastAsia="en-US"/>
        </w:rPr>
        <w:t>,</w:t>
      </w:r>
      <w:r w:rsidR="00E829CB">
        <w:rPr>
          <w:rFonts w:ascii="Times New Roman" w:hAnsi="Times New Roman"/>
          <w:sz w:val="20"/>
          <w:lang w:eastAsia="en-US"/>
        </w:rPr>
        <w:t xml:space="preserve"> Law et al. (2013)</w:t>
      </w:r>
      <w:r w:rsidRPr="00C26307">
        <w:rPr>
          <w:rFonts w:ascii="Times New Roman" w:hAnsi="Times New Roman"/>
          <w:sz w:val="20"/>
          <w:lang w:eastAsia="en-US"/>
        </w:rPr>
        <w:t xml:space="preserve"> make the case “to allocate sufficient budget to provide ongoing training on the latest IT developments for staff at all organizational levels, ranging from operational to strategic” (p19). They encourage further research to investigate what they term as “overall IT proficiency”, an area which researchers have failed to explore, so far, mostly as a result of lack of access to explicit financial data IT Budget (Law </w:t>
      </w:r>
      <w:r w:rsidR="007E6023">
        <w:rPr>
          <w:rFonts w:ascii="Times New Roman" w:hAnsi="Times New Roman"/>
          <w:sz w:val="20"/>
          <w:lang w:eastAsia="en-US"/>
        </w:rPr>
        <w:t>&amp;</w:t>
      </w:r>
      <w:r w:rsidRPr="00C26307">
        <w:rPr>
          <w:rFonts w:ascii="Times New Roman" w:hAnsi="Times New Roman"/>
          <w:sz w:val="20"/>
          <w:lang w:eastAsia="en-US"/>
        </w:rPr>
        <w:t xml:space="preserve"> Leung, 2013).</w:t>
      </w:r>
    </w:p>
    <w:p w:rsidR="00C26307" w:rsidRPr="00C26307" w:rsidRDefault="00C26307" w:rsidP="001122C4">
      <w:pPr>
        <w:spacing w:line="240" w:lineRule="auto"/>
        <w:jc w:val="both"/>
        <w:rPr>
          <w:rFonts w:ascii="Times New Roman" w:hAnsi="Times New Roman"/>
          <w:sz w:val="20"/>
          <w:lang w:eastAsia="en-US"/>
        </w:rPr>
      </w:pPr>
      <w:r w:rsidRPr="00C26307">
        <w:rPr>
          <w:rFonts w:ascii="Times New Roman" w:hAnsi="Times New Roman"/>
          <w:sz w:val="20"/>
          <w:lang w:eastAsia="en-US"/>
        </w:rPr>
        <w:t>Thus, this paper investigates the role of  “IT value” by linking explicit financial data to IT spend at property level and explores the relationship between hotel revenues and IT spend and  a</w:t>
      </w:r>
      <w:r w:rsidR="00EB1A27">
        <w:rPr>
          <w:rFonts w:ascii="Times New Roman" w:hAnsi="Times New Roman"/>
          <w:sz w:val="20"/>
          <w:lang w:eastAsia="en-US"/>
        </w:rPr>
        <w:t>ddresses the research questions;</w:t>
      </w:r>
      <w:r w:rsidR="00EB1A27" w:rsidRPr="00EB1A27">
        <w:t xml:space="preserve"> </w:t>
      </w:r>
      <w:r w:rsidR="00EB1A27" w:rsidRPr="00EB1A27">
        <w:rPr>
          <w:rFonts w:ascii="Times New Roman" w:hAnsi="Times New Roman"/>
          <w:sz w:val="20"/>
          <w:lang w:eastAsia="en-US"/>
        </w:rPr>
        <w:t xml:space="preserve">1. </w:t>
      </w:r>
      <w:r w:rsidR="00EB1A27">
        <w:rPr>
          <w:rFonts w:ascii="Times New Roman" w:hAnsi="Times New Roman"/>
          <w:sz w:val="20"/>
          <w:lang w:eastAsia="en-US"/>
        </w:rPr>
        <w:t>Do</w:t>
      </w:r>
      <w:r w:rsidR="00EB1A27" w:rsidRPr="00EB1A27">
        <w:rPr>
          <w:rFonts w:ascii="Times New Roman" w:hAnsi="Times New Roman"/>
          <w:sz w:val="20"/>
          <w:lang w:eastAsia="en-US"/>
        </w:rPr>
        <w:t xml:space="preserve"> hotels</w:t>
      </w:r>
      <w:r w:rsidR="00EB1A27">
        <w:rPr>
          <w:rFonts w:ascii="Times New Roman" w:hAnsi="Times New Roman"/>
          <w:sz w:val="20"/>
          <w:lang w:eastAsia="en-US"/>
        </w:rPr>
        <w:t>’</w:t>
      </w:r>
      <w:r w:rsidR="00EB1A27" w:rsidRPr="00EB1A27">
        <w:rPr>
          <w:rFonts w:ascii="Times New Roman" w:hAnsi="Times New Roman"/>
          <w:sz w:val="20"/>
          <w:lang w:eastAsia="en-US"/>
        </w:rPr>
        <w:t xml:space="preserve"> financial performance increase with IT </w:t>
      </w:r>
      <w:r w:rsidR="007E6023" w:rsidRPr="00EB1A27">
        <w:rPr>
          <w:rFonts w:ascii="Times New Roman" w:hAnsi="Times New Roman"/>
          <w:sz w:val="20"/>
          <w:lang w:eastAsia="en-US"/>
        </w:rPr>
        <w:t>investment and</w:t>
      </w:r>
      <w:r w:rsidR="00EB1A27" w:rsidRPr="00EB1A27">
        <w:rPr>
          <w:rFonts w:ascii="Times New Roman" w:hAnsi="Times New Roman"/>
          <w:sz w:val="20"/>
          <w:lang w:eastAsia="en-US"/>
        </w:rPr>
        <w:t xml:space="preserve"> 2. How do we measure “value” from IT </w:t>
      </w:r>
      <w:r w:rsidR="00EB1A27">
        <w:rPr>
          <w:rFonts w:ascii="Times New Roman" w:hAnsi="Times New Roman"/>
          <w:sz w:val="20"/>
          <w:lang w:eastAsia="en-US"/>
        </w:rPr>
        <w:t>i</w:t>
      </w:r>
      <w:r w:rsidR="00EB1A27" w:rsidRPr="00EB1A27">
        <w:rPr>
          <w:rFonts w:ascii="Times New Roman" w:hAnsi="Times New Roman"/>
          <w:sz w:val="20"/>
          <w:lang w:eastAsia="en-US"/>
        </w:rPr>
        <w:t>nvestments?</w:t>
      </w:r>
    </w:p>
    <w:p w:rsidR="00B54045" w:rsidRPr="00B374F1" w:rsidRDefault="00B54045" w:rsidP="00190526">
      <w:pPr>
        <w:pStyle w:val="Heading1"/>
        <w:numPr>
          <w:ilvl w:val="0"/>
          <w:numId w:val="12"/>
        </w:numPr>
        <w:tabs>
          <w:tab w:val="num" w:pos="340"/>
        </w:tabs>
      </w:pPr>
      <w:r w:rsidRPr="00B374F1">
        <w:t>Methodology</w:t>
      </w:r>
    </w:p>
    <w:p w:rsidR="00790179" w:rsidRDefault="00C26307" w:rsidP="001122C4">
      <w:pPr>
        <w:spacing w:before="120" w:after="120" w:line="240" w:lineRule="auto"/>
        <w:jc w:val="both"/>
        <w:rPr>
          <w:rFonts w:ascii="Times New Roman" w:hAnsi="Times New Roman"/>
          <w:sz w:val="20"/>
          <w:lang w:eastAsia="en-US"/>
        </w:rPr>
      </w:pPr>
      <w:r w:rsidRPr="00C26307">
        <w:rPr>
          <w:rFonts w:ascii="Times New Roman" w:hAnsi="Times New Roman"/>
          <w:sz w:val="20"/>
          <w:lang w:eastAsia="en-US"/>
        </w:rPr>
        <w:t>The method used is quantitative with an online questionnaire used to collect the data</w:t>
      </w:r>
      <w:r w:rsidR="00AD0A40">
        <w:rPr>
          <w:rFonts w:ascii="Times New Roman" w:hAnsi="Times New Roman"/>
          <w:sz w:val="20"/>
          <w:lang w:eastAsia="en-US"/>
        </w:rPr>
        <w:t>.</w:t>
      </w:r>
      <w:r w:rsidR="00EB1A27">
        <w:rPr>
          <w:rFonts w:ascii="Times New Roman" w:hAnsi="Times New Roman"/>
          <w:sz w:val="20"/>
          <w:lang w:eastAsia="en-US"/>
        </w:rPr>
        <w:t xml:space="preserve"> </w:t>
      </w:r>
      <w:r w:rsidR="00AD0A40">
        <w:rPr>
          <w:rFonts w:ascii="Times New Roman" w:hAnsi="Times New Roman"/>
          <w:sz w:val="20"/>
          <w:lang w:eastAsia="en-US"/>
        </w:rPr>
        <w:t>This</w:t>
      </w:r>
      <w:r w:rsidR="00EB1A27">
        <w:rPr>
          <w:rFonts w:ascii="Times New Roman" w:hAnsi="Times New Roman"/>
          <w:sz w:val="20"/>
          <w:lang w:eastAsia="en-US"/>
        </w:rPr>
        <w:t xml:space="preserve"> </w:t>
      </w:r>
      <w:r w:rsidR="00EB7399">
        <w:rPr>
          <w:rFonts w:ascii="Times New Roman" w:hAnsi="Times New Roman"/>
          <w:sz w:val="20"/>
          <w:lang w:eastAsia="en-US"/>
        </w:rPr>
        <w:t>was</w:t>
      </w:r>
      <w:r w:rsidR="00EB7399" w:rsidRPr="00C26307">
        <w:rPr>
          <w:rFonts w:ascii="Times New Roman" w:hAnsi="Times New Roman"/>
          <w:sz w:val="20"/>
          <w:lang w:eastAsia="en-US"/>
        </w:rPr>
        <w:t xml:space="preserve"> emailed</w:t>
      </w:r>
      <w:r w:rsidRPr="00C26307">
        <w:rPr>
          <w:rFonts w:ascii="Times New Roman" w:hAnsi="Times New Roman"/>
          <w:sz w:val="20"/>
          <w:lang w:eastAsia="en-US"/>
        </w:rPr>
        <w:t xml:space="preserve"> to 500 hotels and completed by 150 hotels (30% response rate).The population under examination is mid and upper-scale hotels in Europe, Middle East and Africa (EMEA) and the data </w:t>
      </w:r>
      <w:r w:rsidR="00EB7399">
        <w:rPr>
          <w:rFonts w:ascii="Times New Roman" w:hAnsi="Times New Roman"/>
          <w:sz w:val="20"/>
          <w:lang w:eastAsia="en-US"/>
        </w:rPr>
        <w:t>reported are</w:t>
      </w:r>
      <w:r w:rsidR="00AD0A40">
        <w:rPr>
          <w:rFonts w:ascii="Times New Roman" w:hAnsi="Times New Roman"/>
          <w:sz w:val="20"/>
          <w:lang w:eastAsia="en-US"/>
        </w:rPr>
        <w:t xml:space="preserve"> for</w:t>
      </w:r>
      <w:r w:rsidRPr="00C26307">
        <w:rPr>
          <w:rFonts w:ascii="Times New Roman" w:hAnsi="Times New Roman"/>
          <w:sz w:val="20"/>
          <w:lang w:eastAsia="en-US"/>
        </w:rPr>
        <w:t xml:space="preserve"> financial year 2011, as submitted in May 2012. Through a series of interviews with IT leaders in the hospitality sector, the questionnaire was designed and validated by both these professionals and academics and consisted of 18 questions focusing on demographic data, financial performance indicators</w:t>
      </w:r>
      <w:r w:rsidR="00943842">
        <w:rPr>
          <w:rFonts w:ascii="Times New Roman" w:hAnsi="Times New Roman"/>
          <w:sz w:val="20"/>
          <w:lang w:eastAsia="en-US"/>
        </w:rPr>
        <w:t>, i.e. GOR, GOP, EBITDA ADR, occupancy,</w:t>
      </w:r>
      <w:r w:rsidRPr="00C26307">
        <w:rPr>
          <w:rFonts w:ascii="Times New Roman" w:hAnsi="Times New Roman"/>
          <w:sz w:val="20"/>
          <w:lang w:eastAsia="en-US"/>
        </w:rPr>
        <w:t xml:space="preserve"> and IT </w:t>
      </w:r>
      <w:r w:rsidR="0068562F" w:rsidRPr="00C26307">
        <w:rPr>
          <w:rFonts w:ascii="Times New Roman" w:hAnsi="Times New Roman"/>
          <w:sz w:val="20"/>
          <w:lang w:eastAsia="en-US"/>
        </w:rPr>
        <w:t>metrics</w:t>
      </w:r>
      <w:r w:rsidR="00943842">
        <w:rPr>
          <w:rFonts w:ascii="Times New Roman" w:hAnsi="Times New Roman"/>
          <w:sz w:val="20"/>
          <w:lang w:eastAsia="en-US"/>
        </w:rPr>
        <w:t>, i.e. TOTAL, CAPEX and OPEX spending</w:t>
      </w:r>
      <w:r w:rsidR="0068562F" w:rsidRPr="00C26307">
        <w:rPr>
          <w:rFonts w:ascii="Times New Roman" w:hAnsi="Times New Roman"/>
          <w:sz w:val="20"/>
          <w:lang w:eastAsia="en-US"/>
        </w:rPr>
        <w:t>. Preliminary</w:t>
      </w:r>
      <w:r w:rsidRPr="00C26307">
        <w:rPr>
          <w:rFonts w:ascii="Times New Roman" w:hAnsi="Times New Roman"/>
          <w:sz w:val="20"/>
          <w:lang w:eastAsia="en-US"/>
        </w:rPr>
        <w:t xml:space="preserve"> results</w:t>
      </w:r>
      <w:r w:rsidR="001122C4">
        <w:rPr>
          <w:rFonts w:ascii="Times New Roman" w:hAnsi="Times New Roman"/>
          <w:sz w:val="20"/>
          <w:lang w:eastAsia="en-US"/>
        </w:rPr>
        <w:t xml:space="preserve"> for 2012</w:t>
      </w:r>
      <w:r w:rsidRPr="00C26307">
        <w:rPr>
          <w:rFonts w:ascii="Times New Roman" w:hAnsi="Times New Roman"/>
          <w:sz w:val="20"/>
          <w:lang w:eastAsia="en-US"/>
        </w:rPr>
        <w:t xml:space="preserve"> are published in this paper</w:t>
      </w:r>
      <w:r w:rsidR="00CB3E1C">
        <w:rPr>
          <w:rFonts w:ascii="Times New Roman" w:hAnsi="Times New Roman"/>
          <w:sz w:val="20"/>
          <w:lang w:eastAsia="en-US"/>
        </w:rPr>
        <w:t xml:space="preserve"> and some figures for Asia are included in regional breakdowns.</w:t>
      </w:r>
      <w:r w:rsidR="00B374F1">
        <w:rPr>
          <w:rFonts w:ascii="Times New Roman" w:hAnsi="Times New Roman"/>
          <w:sz w:val="20"/>
          <w:lang w:eastAsia="en-US"/>
        </w:rPr>
        <w:t xml:space="preserve"> </w:t>
      </w:r>
    </w:p>
    <w:p w:rsidR="00B838B8" w:rsidRPr="00B374F1" w:rsidRDefault="00117516" w:rsidP="00190526">
      <w:pPr>
        <w:pStyle w:val="Heading1"/>
        <w:numPr>
          <w:ilvl w:val="0"/>
          <w:numId w:val="12"/>
        </w:numPr>
        <w:tabs>
          <w:tab w:val="num" w:pos="340"/>
        </w:tabs>
      </w:pPr>
      <w:r w:rsidRPr="00B374F1">
        <w:t>Result</w:t>
      </w:r>
      <w:r w:rsidR="00C1420C" w:rsidRPr="00B374F1">
        <w:t>s</w:t>
      </w:r>
    </w:p>
    <w:p w:rsidR="00190526" w:rsidRPr="00190526" w:rsidRDefault="00190526" w:rsidP="00190526">
      <w:pPr>
        <w:spacing w:before="120" w:after="120" w:line="240" w:lineRule="auto"/>
        <w:jc w:val="both"/>
        <w:rPr>
          <w:rFonts w:ascii="Times New Roman" w:hAnsi="Times New Roman"/>
          <w:sz w:val="20"/>
          <w:lang w:eastAsia="en-US"/>
        </w:rPr>
      </w:pPr>
      <w:r w:rsidRPr="00190526">
        <w:rPr>
          <w:rFonts w:ascii="Times New Roman" w:hAnsi="Times New Roman"/>
          <w:sz w:val="20"/>
          <w:lang w:eastAsia="en-US"/>
        </w:rPr>
        <w:t xml:space="preserve">As seen in Figure 1, the overall average % of IT / GOR 1.83%. A statistically significant linear relationship has been obtained between IT spend and revenues through regression analysis (R-square=54.5%, coefficient=41.3 with a p-value of 0%). The </w:t>
      </w:r>
      <w:proofErr w:type="spellStart"/>
      <w:r w:rsidRPr="00190526">
        <w:rPr>
          <w:rFonts w:ascii="Times New Roman" w:hAnsi="Times New Roman"/>
          <w:sz w:val="20"/>
          <w:lang w:eastAsia="en-US"/>
        </w:rPr>
        <w:t>Kruskal</w:t>
      </w:r>
      <w:proofErr w:type="spellEnd"/>
      <w:r w:rsidRPr="00190526">
        <w:rPr>
          <w:rFonts w:ascii="Times New Roman" w:hAnsi="Times New Roman"/>
          <w:sz w:val="20"/>
          <w:lang w:eastAsia="en-US"/>
        </w:rPr>
        <w:t xml:space="preserve">-Wallis test (as normality and homogenous variances assumptions were not met for ANOVA) between the IT spend quartiles and the hotel revenues reveals a statistically significant difference between the average revenues for each IT spend quartile (p-value = 0%) in Figure 3. </w:t>
      </w:r>
    </w:p>
    <w:p w:rsidR="005705DA" w:rsidRDefault="005705DA" w:rsidP="00190526">
      <w:pPr>
        <w:spacing w:before="120" w:after="120" w:line="240" w:lineRule="auto"/>
        <w:jc w:val="both"/>
        <w:rPr>
          <w:rFonts w:ascii="Times New Roman" w:hAnsi="Times New Roman"/>
          <w:sz w:val="20"/>
          <w:lang w:eastAsia="en-US"/>
        </w:rPr>
      </w:pPr>
    </w:p>
    <w:p w:rsidR="005705DA" w:rsidRDefault="005705DA" w:rsidP="00190526">
      <w:pPr>
        <w:spacing w:before="120" w:after="120" w:line="240" w:lineRule="auto"/>
        <w:jc w:val="both"/>
        <w:rPr>
          <w:rFonts w:ascii="Times New Roman" w:hAnsi="Times New Roman"/>
          <w:sz w:val="20"/>
          <w:lang w:eastAsia="en-US"/>
        </w:rPr>
      </w:pPr>
    </w:p>
    <w:p w:rsidR="005705DA" w:rsidRDefault="005705DA" w:rsidP="00C26307">
      <w:pPr>
        <w:autoSpaceDE w:val="0"/>
        <w:autoSpaceDN w:val="0"/>
        <w:adjustRightInd w:val="0"/>
        <w:spacing w:after="0" w:line="240" w:lineRule="auto"/>
        <w:rPr>
          <w:rFonts w:ascii="Times New Roman" w:hAnsi="Times New Roman"/>
          <w:sz w:val="20"/>
          <w:lang w:eastAsia="en-US"/>
        </w:rPr>
      </w:pPr>
    </w:p>
    <w:p w:rsidR="005705DA" w:rsidRDefault="005705DA" w:rsidP="00C26307">
      <w:pPr>
        <w:autoSpaceDE w:val="0"/>
        <w:autoSpaceDN w:val="0"/>
        <w:adjustRightInd w:val="0"/>
        <w:spacing w:after="0" w:line="240" w:lineRule="auto"/>
        <w:rPr>
          <w:rFonts w:ascii="Times New Roman" w:hAnsi="Times New Roman"/>
          <w:sz w:val="20"/>
          <w:lang w:eastAsia="en-US"/>
        </w:rPr>
      </w:pPr>
    </w:p>
    <w:p w:rsidR="005705DA" w:rsidRDefault="005705DA" w:rsidP="00C26307">
      <w:pPr>
        <w:autoSpaceDE w:val="0"/>
        <w:autoSpaceDN w:val="0"/>
        <w:adjustRightInd w:val="0"/>
        <w:spacing w:after="0" w:line="240" w:lineRule="auto"/>
        <w:rPr>
          <w:rFonts w:ascii="Times New Roman" w:hAnsi="Times New Roman"/>
          <w:sz w:val="20"/>
          <w:lang w:eastAsia="en-US"/>
        </w:rPr>
      </w:pPr>
    </w:p>
    <w:p w:rsidR="005705DA" w:rsidRDefault="005705DA" w:rsidP="00C26307">
      <w:pPr>
        <w:autoSpaceDE w:val="0"/>
        <w:autoSpaceDN w:val="0"/>
        <w:adjustRightInd w:val="0"/>
        <w:spacing w:after="0" w:line="240" w:lineRule="auto"/>
        <w:rPr>
          <w:rFonts w:ascii="Times New Roman" w:hAnsi="Times New Roman"/>
          <w:sz w:val="20"/>
          <w:lang w:eastAsia="en-US"/>
        </w:rPr>
      </w:pPr>
    </w:p>
    <w:p w:rsidR="005705DA" w:rsidRDefault="005705DA" w:rsidP="00C26307">
      <w:pPr>
        <w:autoSpaceDE w:val="0"/>
        <w:autoSpaceDN w:val="0"/>
        <w:adjustRightInd w:val="0"/>
        <w:spacing w:after="0" w:line="240" w:lineRule="auto"/>
        <w:rPr>
          <w:rFonts w:ascii="Times New Roman" w:hAnsi="Times New Roman"/>
          <w:sz w:val="20"/>
          <w:lang w:eastAsia="en-US"/>
        </w:rPr>
      </w:pPr>
    </w:p>
    <w:p w:rsidR="00C26307" w:rsidRPr="00C26307" w:rsidRDefault="00C26307" w:rsidP="00190526">
      <w:pPr>
        <w:autoSpaceDE w:val="0"/>
        <w:autoSpaceDN w:val="0"/>
        <w:adjustRightInd w:val="0"/>
        <w:spacing w:after="0" w:line="240" w:lineRule="auto"/>
        <w:jc w:val="center"/>
        <w:rPr>
          <w:rFonts w:ascii="Times New Roman" w:hAnsi="Times New Roman"/>
          <w:sz w:val="20"/>
          <w:lang w:eastAsia="en-US"/>
        </w:rPr>
      </w:pPr>
      <w:r w:rsidRPr="00C26307">
        <w:rPr>
          <w:rFonts w:ascii="Times New Roman" w:hAnsi="Times New Roman"/>
          <w:noProof/>
          <w:sz w:val="20"/>
          <w:lang w:val="en-US" w:eastAsia="en-US"/>
        </w:rPr>
        <w:lastRenderedPageBreak/>
        <w:drawing>
          <wp:inline distT="0" distB="0" distL="0" distR="0" wp14:anchorId="1B4A1B8F" wp14:editId="0510052F">
            <wp:extent cx="4333875" cy="26600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9300" cy="2663351"/>
                    </a:xfrm>
                    <a:prstGeom prst="rect">
                      <a:avLst/>
                    </a:prstGeom>
                    <a:noFill/>
                    <a:ln>
                      <a:noFill/>
                    </a:ln>
                  </pic:spPr>
                </pic:pic>
              </a:graphicData>
            </a:graphic>
          </wp:inline>
        </w:drawing>
      </w:r>
    </w:p>
    <w:p w:rsidR="00190526" w:rsidRPr="00190526" w:rsidRDefault="00190526" w:rsidP="00190526">
      <w:pPr>
        <w:pStyle w:val="FigureCaption"/>
        <w:spacing w:line="240" w:lineRule="auto"/>
      </w:pPr>
      <w:r w:rsidRPr="00190526">
        <w:rPr>
          <w:b/>
        </w:rPr>
        <w:t>Fig</w:t>
      </w:r>
      <w:r>
        <w:rPr>
          <w:b/>
        </w:rPr>
        <w:t>.</w:t>
      </w:r>
      <w:r w:rsidRPr="00190526">
        <w:rPr>
          <w:b/>
        </w:rPr>
        <w:t xml:space="preserve"> 1</w:t>
      </w:r>
      <w:r>
        <w:rPr>
          <w:b/>
        </w:rPr>
        <w:t>.</w:t>
      </w:r>
      <w:r w:rsidRPr="00190526">
        <w:rPr>
          <w:b/>
        </w:rPr>
        <w:t xml:space="preserve"> </w:t>
      </w:r>
      <w:r w:rsidRPr="00190526">
        <w:t xml:space="preserve">IT Spend as % of Key Financial Performance Indicators </w:t>
      </w:r>
    </w:p>
    <w:p w:rsidR="00C26307" w:rsidRDefault="00C26307" w:rsidP="000840E2">
      <w:pPr>
        <w:autoSpaceDE w:val="0"/>
        <w:autoSpaceDN w:val="0"/>
        <w:adjustRightInd w:val="0"/>
        <w:spacing w:after="0" w:line="240" w:lineRule="auto"/>
        <w:rPr>
          <w:rFonts w:ascii="Times New Roman" w:hAnsi="Times New Roman"/>
          <w:sz w:val="20"/>
          <w:lang w:eastAsia="en-US"/>
        </w:rPr>
      </w:pPr>
      <w:r w:rsidRPr="00C26307">
        <w:rPr>
          <w:rFonts w:ascii="Times New Roman" w:hAnsi="Times New Roman"/>
          <w:noProof/>
          <w:sz w:val="20"/>
          <w:lang w:val="en-US" w:eastAsia="en-US"/>
        </w:rPr>
        <w:drawing>
          <wp:inline distT="0" distB="0" distL="0" distR="0" wp14:anchorId="75EFA6AA" wp14:editId="05D9B0F6">
            <wp:extent cx="4305300" cy="3448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911" cy="3462288"/>
                    </a:xfrm>
                    <a:prstGeom prst="rect">
                      <a:avLst/>
                    </a:prstGeom>
                    <a:noFill/>
                    <a:ln>
                      <a:noFill/>
                    </a:ln>
                  </pic:spPr>
                </pic:pic>
              </a:graphicData>
            </a:graphic>
          </wp:inline>
        </w:drawing>
      </w:r>
    </w:p>
    <w:p w:rsidR="00190526" w:rsidRPr="00190526" w:rsidRDefault="00190526" w:rsidP="00190526">
      <w:pPr>
        <w:pStyle w:val="FigureCaption"/>
        <w:spacing w:line="240" w:lineRule="auto"/>
      </w:pPr>
      <w:r w:rsidRPr="00190526">
        <w:rPr>
          <w:b/>
        </w:rPr>
        <w:t>Fig</w:t>
      </w:r>
      <w:r>
        <w:rPr>
          <w:b/>
        </w:rPr>
        <w:t>.</w:t>
      </w:r>
      <w:r w:rsidRPr="00190526">
        <w:rPr>
          <w:b/>
        </w:rPr>
        <w:t xml:space="preserve"> 2</w:t>
      </w:r>
      <w:r>
        <w:rPr>
          <w:b/>
        </w:rPr>
        <w:t>.</w:t>
      </w:r>
      <w:r w:rsidRPr="00190526">
        <w:rPr>
          <w:b/>
        </w:rPr>
        <w:t xml:space="preserve"> </w:t>
      </w:r>
      <w:r w:rsidRPr="00190526">
        <w:t>Change in Hotel Revenues vs. IT Spend</w:t>
      </w:r>
    </w:p>
    <w:p w:rsidR="00EB1A27" w:rsidRDefault="00943842" w:rsidP="001A70A6">
      <w:pPr>
        <w:jc w:val="center"/>
        <w:rPr>
          <w:rFonts w:ascii="Times New Roman" w:hAnsi="Times New Roman"/>
          <w:sz w:val="20"/>
          <w:lang w:eastAsia="en-US"/>
        </w:rPr>
      </w:pPr>
      <w:r w:rsidRPr="00C26307">
        <w:rPr>
          <w:rFonts w:ascii="Times New Roman" w:hAnsi="Times New Roman"/>
          <w:noProof/>
          <w:sz w:val="20"/>
          <w:lang w:val="en-US" w:eastAsia="en-US"/>
        </w:rPr>
        <w:lastRenderedPageBreak/>
        <mc:AlternateContent>
          <mc:Choice Requires="wps">
            <w:drawing>
              <wp:anchor distT="0" distB="0" distL="114300" distR="114300" simplePos="0" relativeHeight="251658240" behindDoc="0" locked="0" layoutInCell="1" allowOverlap="1" wp14:anchorId="4E57EB7D" wp14:editId="1DF1EBC9">
                <wp:simplePos x="0" y="0"/>
                <wp:positionH relativeFrom="column">
                  <wp:posOffset>947420</wp:posOffset>
                </wp:positionH>
                <wp:positionV relativeFrom="paragraph">
                  <wp:posOffset>49606</wp:posOffset>
                </wp:positionV>
                <wp:extent cx="1181735" cy="1302385"/>
                <wp:effectExtent l="0" t="0" r="1841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302385"/>
                        </a:xfrm>
                        <a:prstGeom prst="rect">
                          <a:avLst/>
                        </a:prstGeom>
                        <a:solidFill>
                          <a:srgbClr val="FFFFFF"/>
                        </a:solidFill>
                        <a:ln w="9525">
                          <a:solidFill>
                            <a:srgbClr val="000000"/>
                          </a:solidFill>
                          <a:miter lim="800000"/>
                          <a:headEnd/>
                          <a:tailEnd/>
                        </a:ln>
                      </wps:spPr>
                      <wps:txbx>
                        <w:txbxContent>
                          <w:p w:rsidR="000840E2" w:rsidRPr="000840E2" w:rsidRDefault="00C26307" w:rsidP="00C26307">
                            <w:pPr>
                              <w:rPr>
                                <w:sz w:val="16"/>
                                <w:lang w:val="en-US"/>
                              </w:rPr>
                            </w:pPr>
                            <w:r w:rsidRPr="000840E2">
                              <w:rPr>
                                <w:sz w:val="16"/>
                                <w:lang w:val="en-US"/>
                              </w:rPr>
                              <w:t>Quartiles for IT Spend:</w:t>
                            </w:r>
                          </w:p>
                          <w:p w:rsidR="00C26307" w:rsidRPr="000840E2" w:rsidRDefault="00C26307" w:rsidP="00C26307">
                            <w:pPr>
                              <w:rPr>
                                <w:sz w:val="16"/>
                                <w:lang w:val="en-US"/>
                              </w:rPr>
                            </w:pPr>
                            <w:r w:rsidRPr="000840E2">
                              <w:rPr>
                                <w:sz w:val="16"/>
                                <w:lang w:val="en-US"/>
                              </w:rPr>
                              <w:t xml:space="preserve">1 = </w:t>
                            </w:r>
                            <w:r w:rsidRPr="000840E2">
                              <w:rPr>
                                <w:sz w:val="16"/>
                              </w:rPr>
                              <w:sym w:font="Symbol" w:char="F0A3"/>
                            </w:r>
                            <w:r w:rsidRPr="000840E2">
                              <w:rPr>
                                <w:sz w:val="16"/>
                                <w:lang w:val="en-US"/>
                              </w:rPr>
                              <w:t xml:space="preserve">100,000 </w:t>
                            </w:r>
                          </w:p>
                          <w:p w:rsidR="00C26307" w:rsidRPr="000840E2" w:rsidRDefault="00C26307" w:rsidP="00C26307">
                            <w:pPr>
                              <w:rPr>
                                <w:sz w:val="16"/>
                                <w:lang w:val="en-US"/>
                              </w:rPr>
                            </w:pPr>
                            <w:r w:rsidRPr="000840E2">
                              <w:rPr>
                                <w:sz w:val="16"/>
                                <w:lang w:val="en-US"/>
                              </w:rPr>
                              <w:t xml:space="preserve">2 = 100,000 – 165,000 </w:t>
                            </w:r>
                          </w:p>
                          <w:p w:rsidR="00C26307" w:rsidRPr="000840E2" w:rsidRDefault="00C26307" w:rsidP="00C26307">
                            <w:pPr>
                              <w:rPr>
                                <w:sz w:val="16"/>
                                <w:lang w:val="fr-CH"/>
                              </w:rPr>
                            </w:pPr>
                            <w:r w:rsidRPr="000840E2">
                              <w:rPr>
                                <w:sz w:val="16"/>
                              </w:rPr>
                              <w:t xml:space="preserve">3 = 165,000 – 275,000 </w:t>
                            </w:r>
                          </w:p>
                          <w:p w:rsidR="00C26307" w:rsidRPr="000840E2" w:rsidRDefault="00C26307" w:rsidP="00C26307">
                            <w:pPr>
                              <w:rPr>
                                <w:sz w:val="16"/>
                              </w:rPr>
                            </w:pPr>
                            <w:r w:rsidRPr="000840E2">
                              <w:rPr>
                                <w:sz w:val="16"/>
                              </w:rPr>
                              <w:t xml:space="preserve">4 = &gt;275,000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7EB7D" id="_x0000_t202" coordsize="21600,21600" o:spt="202" path="m,l,21600r21600,l21600,xe">
                <v:stroke joinstyle="miter"/>
                <v:path gradientshapeok="t" o:connecttype="rect"/>
              </v:shapetype>
              <v:shape id="Text Box 18" o:spid="_x0000_s1026" type="#_x0000_t202" style="position:absolute;left:0;text-align:left;margin-left:74.6pt;margin-top:3.9pt;width:93.05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">
                <v:textbox>
                  <w:txbxContent>
                    <w:p w:rsidR="000840E2" w:rsidRPr="000840E2" w:rsidRDefault="00C26307" w:rsidP="00C26307">
                      <w:pPr>
                        <w:rPr>
                          <w:sz w:val="16"/>
                          <w:lang w:val="en-US"/>
                        </w:rPr>
                      </w:pPr>
                      <w:r w:rsidRPr="000840E2">
                        <w:rPr>
                          <w:sz w:val="16"/>
                          <w:lang w:val="en-US"/>
                        </w:rPr>
                        <w:t>Quartiles for IT Spend:</w:t>
                      </w:r>
                    </w:p>
                    <w:p w:rsidR="00C26307" w:rsidRPr="000840E2" w:rsidRDefault="00C26307" w:rsidP="00C26307">
                      <w:pPr>
                        <w:rPr>
                          <w:sz w:val="16"/>
                          <w:lang w:val="en-US"/>
                        </w:rPr>
                      </w:pPr>
                      <w:r w:rsidRPr="000840E2">
                        <w:rPr>
                          <w:sz w:val="16"/>
                          <w:lang w:val="en-US"/>
                        </w:rPr>
                        <w:t xml:space="preserve">1 = </w:t>
                      </w:r>
                      <w:r w:rsidRPr="000840E2">
                        <w:rPr>
                          <w:sz w:val="16"/>
                        </w:rPr>
                        <w:sym w:font="Symbol" w:char="F0A3"/>
                      </w:r>
                      <w:r w:rsidRPr="000840E2">
                        <w:rPr>
                          <w:sz w:val="16"/>
                          <w:lang w:val="en-US"/>
                        </w:rPr>
                        <w:t xml:space="preserve">100,000 </w:t>
                      </w:r>
                    </w:p>
                    <w:p w:rsidR="00C26307" w:rsidRPr="000840E2" w:rsidRDefault="00C26307" w:rsidP="00C26307">
                      <w:pPr>
                        <w:rPr>
                          <w:sz w:val="16"/>
                          <w:lang w:val="en-US"/>
                        </w:rPr>
                      </w:pPr>
                      <w:r w:rsidRPr="000840E2">
                        <w:rPr>
                          <w:sz w:val="16"/>
                          <w:lang w:val="en-US"/>
                        </w:rPr>
                        <w:t xml:space="preserve">2 = 100,000 – 165,000 </w:t>
                      </w:r>
                    </w:p>
                    <w:p w:rsidR="00C26307" w:rsidRPr="000840E2" w:rsidRDefault="00C26307" w:rsidP="00C26307">
                      <w:pPr>
                        <w:rPr>
                          <w:sz w:val="16"/>
                          <w:lang w:val="fr-CH"/>
                        </w:rPr>
                      </w:pPr>
                      <w:r w:rsidRPr="000840E2">
                        <w:rPr>
                          <w:sz w:val="16"/>
                        </w:rPr>
                        <w:t xml:space="preserve">3 = 165,000 – 275,000 </w:t>
                      </w:r>
                    </w:p>
                    <w:p w:rsidR="00C26307" w:rsidRPr="000840E2" w:rsidRDefault="00C26307" w:rsidP="00C26307">
                      <w:pPr>
                        <w:rPr>
                          <w:sz w:val="16"/>
                        </w:rPr>
                      </w:pPr>
                      <w:r w:rsidRPr="000840E2">
                        <w:rPr>
                          <w:sz w:val="16"/>
                        </w:rPr>
                        <w:t xml:space="preserve">4 = &gt;275,000 </w:t>
                      </w:r>
                    </w:p>
                  </w:txbxContent>
                </v:textbox>
              </v:shape>
            </w:pict>
          </mc:Fallback>
        </mc:AlternateContent>
      </w:r>
      <w:r w:rsidR="00C26307" w:rsidRPr="00C26307">
        <w:rPr>
          <w:rFonts w:ascii="Times New Roman" w:hAnsi="Times New Roman"/>
          <w:noProof/>
          <w:sz w:val="20"/>
          <w:lang w:val="en-US" w:eastAsia="en-US"/>
        </w:rPr>
        <w:drawing>
          <wp:inline distT="0" distB="0" distL="0" distR="0" wp14:anchorId="77620BA9" wp14:editId="076639B9">
            <wp:extent cx="3403421" cy="25164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031" cy="2516879"/>
                    </a:xfrm>
                    <a:prstGeom prst="rect">
                      <a:avLst/>
                    </a:prstGeom>
                    <a:noFill/>
                    <a:ln>
                      <a:noFill/>
                    </a:ln>
                  </pic:spPr>
                </pic:pic>
              </a:graphicData>
            </a:graphic>
          </wp:inline>
        </w:drawing>
      </w:r>
    </w:p>
    <w:p w:rsidR="00190526" w:rsidRPr="00190526" w:rsidRDefault="00190526" w:rsidP="00190526">
      <w:pPr>
        <w:pStyle w:val="FigureCaption"/>
        <w:spacing w:line="240" w:lineRule="auto"/>
      </w:pPr>
      <w:r w:rsidRPr="00190526">
        <w:rPr>
          <w:b/>
        </w:rPr>
        <w:t>Fig</w:t>
      </w:r>
      <w:r>
        <w:rPr>
          <w:b/>
        </w:rPr>
        <w:t>.</w:t>
      </w:r>
      <w:r w:rsidRPr="00190526">
        <w:rPr>
          <w:b/>
        </w:rPr>
        <w:t xml:space="preserve"> 3</w:t>
      </w:r>
      <w:r>
        <w:rPr>
          <w:b/>
        </w:rPr>
        <w:t>.</w:t>
      </w:r>
      <w:r w:rsidRPr="00190526">
        <w:rPr>
          <w:b/>
        </w:rPr>
        <w:t xml:space="preserve"> </w:t>
      </w:r>
      <w:r w:rsidRPr="00190526">
        <w:t>Box Plot of Hotel Revenues vs. IT Spend Quartiles</w:t>
      </w:r>
    </w:p>
    <w:p w:rsidR="006B4056" w:rsidRDefault="00C26307" w:rsidP="00983A99">
      <w:pPr>
        <w:autoSpaceDE w:val="0"/>
        <w:autoSpaceDN w:val="0"/>
        <w:adjustRightInd w:val="0"/>
        <w:spacing w:after="0" w:line="240" w:lineRule="auto"/>
        <w:jc w:val="center"/>
        <w:rPr>
          <w:rFonts w:ascii="Times New Roman" w:hAnsi="Times New Roman"/>
          <w:sz w:val="20"/>
          <w:lang w:eastAsia="en-US"/>
        </w:rPr>
      </w:pPr>
      <w:r w:rsidRPr="00C26307">
        <w:rPr>
          <w:rFonts w:ascii="Times New Roman" w:hAnsi="Times New Roman"/>
          <w:noProof/>
          <w:sz w:val="20"/>
          <w:lang w:val="en-US" w:eastAsia="en-US"/>
        </w:rPr>
        <w:drawing>
          <wp:inline distT="0" distB="0" distL="0" distR="0" wp14:anchorId="6C1768D5" wp14:editId="591DAA4A">
            <wp:extent cx="4294023" cy="241742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176" cy="2416385"/>
                    </a:xfrm>
                    <a:prstGeom prst="rect">
                      <a:avLst/>
                    </a:prstGeom>
                    <a:noFill/>
                  </pic:spPr>
                </pic:pic>
              </a:graphicData>
            </a:graphic>
          </wp:inline>
        </w:drawing>
      </w:r>
    </w:p>
    <w:p w:rsidR="00190526" w:rsidRPr="00190526" w:rsidRDefault="00190526" w:rsidP="00190526">
      <w:pPr>
        <w:pStyle w:val="FigureCaption"/>
        <w:spacing w:line="240" w:lineRule="auto"/>
      </w:pPr>
      <w:r w:rsidRPr="00190526">
        <w:rPr>
          <w:b/>
        </w:rPr>
        <w:t>Fig</w:t>
      </w:r>
      <w:r w:rsidRPr="00190526">
        <w:rPr>
          <w:b/>
        </w:rPr>
        <w:t>.</w:t>
      </w:r>
      <w:r w:rsidRPr="00190526">
        <w:rPr>
          <w:b/>
        </w:rPr>
        <w:t xml:space="preserve"> 4</w:t>
      </w:r>
      <w:r w:rsidRPr="00190526">
        <w:rPr>
          <w:b/>
        </w:rPr>
        <w:t>.</w:t>
      </w:r>
      <w:r w:rsidRPr="00190526">
        <w:rPr>
          <w:b/>
        </w:rPr>
        <w:t xml:space="preserve"> </w:t>
      </w:r>
      <w:r w:rsidRPr="00190526">
        <w:t>IT VALUE (as measured % of GOR plotted against Operating Margin, Gartner metric, 2012)</w:t>
      </w:r>
    </w:p>
    <w:p w:rsidR="00117516" w:rsidRPr="00B374F1" w:rsidRDefault="00117516" w:rsidP="00190526">
      <w:pPr>
        <w:pStyle w:val="Heading1"/>
        <w:numPr>
          <w:ilvl w:val="0"/>
          <w:numId w:val="12"/>
        </w:numPr>
        <w:tabs>
          <w:tab w:val="num" w:pos="340"/>
        </w:tabs>
      </w:pPr>
      <w:r w:rsidRPr="00B374F1">
        <w:t>Conclusion</w:t>
      </w:r>
      <w:r w:rsidR="00F3055D" w:rsidRPr="00B374F1">
        <w:t>s</w:t>
      </w:r>
      <w:r w:rsidR="00CD0F6F" w:rsidRPr="00B374F1">
        <w:t>, implications and l</w:t>
      </w:r>
      <w:r w:rsidRPr="00B374F1">
        <w:t>imitation</w:t>
      </w:r>
      <w:r w:rsidR="00CD0F6F" w:rsidRPr="00B374F1">
        <w:t>s</w:t>
      </w:r>
    </w:p>
    <w:p w:rsidR="00C26307" w:rsidRPr="00C26307" w:rsidRDefault="00474430" w:rsidP="001122C4">
      <w:pPr>
        <w:spacing w:line="240" w:lineRule="auto"/>
        <w:jc w:val="both"/>
        <w:rPr>
          <w:rFonts w:ascii="Times New Roman" w:hAnsi="Times New Roman"/>
          <w:sz w:val="20"/>
          <w:lang w:eastAsia="en-US"/>
        </w:rPr>
      </w:pPr>
      <w:r w:rsidRPr="00474430">
        <w:rPr>
          <w:rFonts w:ascii="Times New Roman" w:hAnsi="Times New Roman"/>
          <w:sz w:val="20"/>
          <w:lang w:eastAsia="en-US"/>
        </w:rPr>
        <w:t xml:space="preserve">This paper endeavours to launch and enrich the discussion in this domain by probing </w:t>
      </w:r>
      <w:r>
        <w:rPr>
          <w:rFonts w:ascii="Times New Roman" w:hAnsi="Times New Roman"/>
          <w:sz w:val="20"/>
          <w:lang w:eastAsia="en-US"/>
        </w:rPr>
        <w:t>the role of IT and examining it’s contribution to property performance</w:t>
      </w:r>
      <w:r w:rsidRPr="00474430">
        <w:rPr>
          <w:rFonts w:ascii="Times New Roman" w:hAnsi="Times New Roman"/>
          <w:sz w:val="20"/>
          <w:lang w:eastAsia="en-US"/>
        </w:rPr>
        <w:t xml:space="preserve"> </w:t>
      </w:r>
      <w:r w:rsidR="00C26307" w:rsidRPr="00C26307">
        <w:rPr>
          <w:rFonts w:ascii="Times New Roman" w:hAnsi="Times New Roman"/>
          <w:sz w:val="20"/>
          <w:lang w:eastAsia="en-US"/>
        </w:rPr>
        <w:t xml:space="preserve">These preliminary results indicate that hotels that spend more on IT also have improved financial performance (even when data is normalized for size, i.e. number of rooms). “IT value” seems higher than most other sectors which vary from 5-25% (Gartner, </w:t>
      </w:r>
      <w:r w:rsidR="00C26307" w:rsidRPr="00C26307">
        <w:rPr>
          <w:rFonts w:ascii="Times New Roman" w:hAnsi="Times New Roman"/>
          <w:sz w:val="20"/>
          <w:lang w:eastAsia="en-US"/>
        </w:rPr>
        <w:lastRenderedPageBreak/>
        <w:t>2012) whereas these reporting hotels cluster around 30-50% for</w:t>
      </w:r>
      <w:r w:rsidR="001122C4">
        <w:rPr>
          <w:rFonts w:ascii="Times New Roman" w:hAnsi="Times New Roman"/>
          <w:sz w:val="20"/>
          <w:lang w:eastAsia="en-US"/>
        </w:rPr>
        <w:t xml:space="preserve"> similar IT investment as % GOR</w:t>
      </w:r>
      <w:r w:rsidR="00C26307" w:rsidRPr="00C26307">
        <w:rPr>
          <w:rFonts w:ascii="Times New Roman" w:hAnsi="Times New Roman"/>
          <w:sz w:val="20"/>
          <w:lang w:eastAsia="en-US"/>
        </w:rPr>
        <w:t>.</w:t>
      </w:r>
      <w:r w:rsidR="000E0002">
        <w:rPr>
          <w:rFonts w:ascii="Times New Roman" w:hAnsi="Times New Roman"/>
          <w:sz w:val="20"/>
          <w:lang w:eastAsia="en-US"/>
        </w:rPr>
        <w:t xml:space="preserve"> </w:t>
      </w:r>
      <w:r w:rsidR="00C26307" w:rsidRPr="00C26307">
        <w:rPr>
          <w:rFonts w:ascii="Times New Roman" w:hAnsi="Times New Roman"/>
          <w:sz w:val="20"/>
          <w:lang w:eastAsia="en-US"/>
        </w:rPr>
        <w:t xml:space="preserve">Limited results are shown here in this ongoing research project which will examine in more detail the construct of IT spend, particularly the moderating role of training in IT, </w:t>
      </w:r>
      <w:r w:rsidR="00EB7399">
        <w:rPr>
          <w:rFonts w:ascii="Times New Roman" w:hAnsi="Times New Roman"/>
          <w:sz w:val="20"/>
          <w:lang w:eastAsia="en-US"/>
        </w:rPr>
        <w:t xml:space="preserve">IT </w:t>
      </w:r>
      <w:r w:rsidR="00C26307" w:rsidRPr="00C26307">
        <w:rPr>
          <w:rFonts w:ascii="Times New Roman" w:hAnsi="Times New Roman"/>
          <w:sz w:val="20"/>
          <w:lang w:eastAsia="en-US"/>
        </w:rPr>
        <w:t>Staff, and hotel demographics and the concept of “value” from technology, particularly at property level</w:t>
      </w:r>
      <w:r w:rsidR="00570293">
        <w:rPr>
          <w:rFonts w:ascii="Times New Roman" w:hAnsi="Times New Roman"/>
          <w:sz w:val="20"/>
          <w:lang w:eastAsia="en-US"/>
        </w:rPr>
        <w:t>.</w:t>
      </w:r>
    </w:p>
    <w:p w:rsidR="00667623" w:rsidRPr="00B374F1" w:rsidRDefault="00716380" w:rsidP="00190526">
      <w:pPr>
        <w:pStyle w:val="Heading1"/>
      </w:pPr>
      <w:r w:rsidRPr="00B374F1">
        <w:t>References</w:t>
      </w:r>
    </w:p>
    <w:p w:rsidR="00C26307" w:rsidRPr="00943842" w:rsidRDefault="00C26307" w:rsidP="00190526">
      <w:pPr>
        <w:spacing w:after="0" w:line="240" w:lineRule="auto"/>
        <w:ind w:left="550" w:hanging="550"/>
        <w:jc w:val="both"/>
        <w:rPr>
          <w:rFonts w:ascii="Times New Roman" w:hAnsi="Times New Roman"/>
          <w:sz w:val="18"/>
          <w:lang w:eastAsia="en-US"/>
        </w:rPr>
      </w:pPr>
      <w:proofErr w:type="spellStart"/>
      <w:r w:rsidRPr="00943842">
        <w:rPr>
          <w:rFonts w:ascii="Times New Roman" w:hAnsi="Times New Roman"/>
          <w:sz w:val="18"/>
          <w:lang w:val="fr-CH" w:eastAsia="en-US"/>
        </w:rPr>
        <w:t>Devaraj</w:t>
      </w:r>
      <w:proofErr w:type="spellEnd"/>
      <w:r w:rsidRPr="00943842">
        <w:rPr>
          <w:rFonts w:ascii="Times New Roman" w:hAnsi="Times New Roman"/>
          <w:sz w:val="18"/>
          <w:lang w:val="fr-CH" w:eastAsia="en-US"/>
        </w:rPr>
        <w:t xml:space="preserve"> S. &amp; Kohli R. (2003). </w:t>
      </w:r>
      <w:r w:rsidRPr="00943842">
        <w:rPr>
          <w:rFonts w:ascii="Times New Roman" w:hAnsi="Times New Roman"/>
          <w:sz w:val="18"/>
          <w:lang w:eastAsia="en-US"/>
        </w:rPr>
        <w:t xml:space="preserve">Performance Impacts of Information Technology: Is Actual Usage the Missing Link? </w:t>
      </w:r>
      <w:r w:rsidRPr="00943842">
        <w:rPr>
          <w:rFonts w:ascii="Times New Roman" w:hAnsi="Times New Roman"/>
          <w:i/>
          <w:sz w:val="18"/>
          <w:lang w:eastAsia="en-US"/>
        </w:rPr>
        <w:t>Management Science,</w:t>
      </w:r>
      <w:r w:rsidRPr="00943842">
        <w:rPr>
          <w:rFonts w:ascii="Times New Roman" w:hAnsi="Times New Roman"/>
          <w:sz w:val="18"/>
          <w:lang w:eastAsia="en-US"/>
        </w:rPr>
        <w:t xml:space="preserve"> 49 (3), 273–289.</w:t>
      </w:r>
    </w:p>
    <w:p w:rsidR="00C26307" w:rsidRPr="00943842"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eastAsia="en-US"/>
        </w:rPr>
        <w:t>Gartner (2012). IT Metrics: IT Cost Transparency Action Plan, Definition and Performance Metrics to Start the Journey</w:t>
      </w:r>
      <w:proofErr w:type="gramStart"/>
      <w:r w:rsidRPr="00943842">
        <w:rPr>
          <w:rFonts w:ascii="Times New Roman" w:hAnsi="Times New Roman"/>
          <w:sz w:val="18"/>
          <w:lang w:eastAsia="en-US"/>
        </w:rPr>
        <w:t>,  [</w:t>
      </w:r>
      <w:proofErr w:type="gramEnd"/>
      <w:r w:rsidRPr="00943842">
        <w:rPr>
          <w:rFonts w:ascii="Times New Roman" w:hAnsi="Times New Roman"/>
          <w:sz w:val="18"/>
          <w:lang w:eastAsia="en-US"/>
        </w:rPr>
        <w:t xml:space="preserve">Retrieved  11.11.2012 from http:// gartner.com/ </w:t>
      </w:r>
      <w:proofErr w:type="spellStart"/>
      <w:r w:rsidRPr="00943842">
        <w:rPr>
          <w:rFonts w:ascii="Times New Roman" w:hAnsi="Times New Roman"/>
          <w:sz w:val="18"/>
          <w:lang w:eastAsia="en-US"/>
        </w:rPr>
        <w:t>mark_mcdonald</w:t>
      </w:r>
      <w:proofErr w:type="spellEnd"/>
      <w:r w:rsidRPr="00943842">
        <w:rPr>
          <w:rFonts w:ascii="Times New Roman" w:hAnsi="Times New Roman"/>
          <w:sz w:val="18"/>
          <w:lang w:eastAsia="en-US"/>
        </w:rPr>
        <w:t>/2012/08/22/metrics]</w:t>
      </w:r>
    </w:p>
    <w:p w:rsidR="00C26307" w:rsidRPr="00943842"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val="fr-CH" w:eastAsia="en-US"/>
        </w:rPr>
        <w:t>Gil-</w:t>
      </w:r>
      <w:proofErr w:type="spellStart"/>
      <w:r w:rsidRPr="00943842">
        <w:rPr>
          <w:rFonts w:ascii="Times New Roman" w:hAnsi="Times New Roman"/>
          <w:sz w:val="18"/>
          <w:lang w:val="fr-CH" w:eastAsia="en-US"/>
        </w:rPr>
        <w:t>Padilla</w:t>
      </w:r>
      <w:proofErr w:type="spellEnd"/>
      <w:r w:rsidRPr="00943842">
        <w:rPr>
          <w:rFonts w:ascii="Times New Roman" w:hAnsi="Times New Roman"/>
          <w:sz w:val="18"/>
          <w:lang w:val="fr-CH" w:eastAsia="en-US"/>
        </w:rPr>
        <w:t xml:space="preserve">, A. M &amp; </w:t>
      </w:r>
      <w:proofErr w:type="spellStart"/>
      <w:r w:rsidRPr="00943842">
        <w:rPr>
          <w:rFonts w:ascii="Times New Roman" w:hAnsi="Times New Roman"/>
          <w:sz w:val="18"/>
          <w:lang w:val="fr-CH" w:eastAsia="en-US"/>
        </w:rPr>
        <w:t>Espino</w:t>
      </w:r>
      <w:proofErr w:type="spellEnd"/>
      <w:r w:rsidRPr="00943842">
        <w:rPr>
          <w:rFonts w:ascii="Times New Roman" w:hAnsi="Times New Roman"/>
          <w:sz w:val="18"/>
          <w:lang w:val="fr-CH" w:eastAsia="en-US"/>
        </w:rPr>
        <w:t xml:space="preserve">-Rodriguez, T. F. (2008). </w:t>
      </w:r>
      <w:r w:rsidRPr="00943842">
        <w:rPr>
          <w:rFonts w:ascii="Times New Roman" w:hAnsi="Times New Roman"/>
          <w:sz w:val="18"/>
          <w:lang w:eastAsia="en-US"/>
        </w:rPr>
        <w:t>Strategic value and resources and capabilities of the information systems area and their impact on organizational performance in the hotel sector, Tourism Review, 63(3), 21 – 47.</w:t>
      </w:r>
    </w:p>
    <w:p w:rsidR="00474430" w:rsidRPr="00943842" w:rsidRDefault="00C26307" w:rsidP="00190526">
      <w:pPr>
        <w:spacing w:after="0" w:line="240" w:lineRule="auto"/>
        <w:ind w:left="550" w:hanging="550"/>
        <w:jc w:val="both"/>
        <w:rPr>
          <w:rFonts w:ascii="Times New Roman" w:hAnsi="Times New Roman"/>
          <w:sz w:val="18"/>
          <w:lang w:eastAsia="en-US"/>
        </w:rPr>
      </w:pPr>
      <w:proofErr w:type="spellStart"/>
      <w:r w:rsidRPr="00943842">
        <w:rPr>
          <w:rFonts w:ascii="Times New Roman" w:hAnsi="Times New Roman"/>
          <w:sz w:val="18"/>
          <w:lang w:eastAsia="en-US"/>
        </w:rPr>
        <w:t>Laudon</w:t>
      </w:r>
      <w:proofErr w:type="spellEnd"/>
      <w:r w:rsidRPr="00943842">
        <w:rPr>
          <w:rFonts w:ascii="Times New Roman" w:hAnsi="Times New Roman"/>
          <w:sz w:val="18"/>
          <w:lang w:eastAsia="en-US"/>
        </w:rPr>
        <w:t xml:space="preserve">, K. C., &amp; J. P. </w:t>
      </w:r>
      <w:proofErr w:type="spellStart"/>
      <w:r w:rsidRPr="00943842">
        <w:rPr>
          <w:rFonts w:ascii="Times New Roman" w:hAnsi="Times New Roman"/>
          <w:sz w:val="18"/>
          <w:lang w:eastAsia="en-US"/>
        </w:rPr>
        <w:t>Laudon</w:t>
      </w:r>
      <w:proofErr w:type="spellEnd"/>
      <w:r w:rsidRPr="00943842">
        <w:rPr>
          <w:rFonts w:ascii="Times New Roman" w:hAnsi="Times New Roman"/>
          <w:sz w:val="18"/>
          <w:lang w:eastAsia="en-US"/>
        </w:rPr>
        <w:t xml:space="preserve">. (2010). </w:t>
      </w:r>
      <w:r w:rsidRPr="00943842">
        <w:rPr>
          <w:rFonts w:ascii="Times New Roman" w:hAnsi="Times New Roman"/>
          <w:i/>
          <w:sz w:val="18"/>
          <w:lang w:eastAsia="en-US"/>
        </w:rPr>
        <w:t xml:space="preserve">Management Information Systems: Managing the </w:t>
      </w:r>
      <w:bookmarkStart w:id="0" w:name="_GoBack"/>
      <w:bookmarkEnd w:id="0"/>
      <w:r w:rsidRPr="00943842">
        <w:rPr>
          <w:rFonts w:ascii="Times New Roman" w:hAnsi="Times New Roman"/>
          <w:i/>
          <w:sz w:val="18"/>
          <w:lang w:eastAsia="en-US"/>
        </w:rPr>
        <w:t>Digital Firm. 11th ed.</w:t>
      </w:r>
      <w:r w:rsidRPr="00943842">
        <w:rPr>
          <w:rFonts w:ascii="Times New Roman" w:hAnsi="Times New Roman"/>
          <w:sz w:val="18"/>
          <w:lang w:eastAsia="en-US"/>
        </w:rPr>
        <w:t xml:space="preserve"> Upper Saddle River, NJ: Pearson Prentice Hall</w:t>
      </w:r>
    </w:p>
    <w:p w:rsidR="00C26307" w:rsidRPr="00943842"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eastAsia="en-US"/>
        </w:rPr>
        <w:t xml:space="preserve">Law, R. &amp; Leung, R (2013). Evaluation of Hotel Information Technologies and EDI Adoption, </w:t>
      </w:r>
      <w:proofErr w:type="gramStart"/>
      <w:r w:rsidRPr="00943842">
        <w:rPr>
          <w:rFonts w:ascii="Times New Roman" w:hAnsi="Times New Roman"/>
          <w:sz w:val="18"/>
          <w:lang w:eastAsia="en-US"/>
        </w:rPr>
        <w:t>The</w:t>
      </w:r>
      <w:proofErr w:type="gramEnd"/>
      <w:r w:rsidRPr="00943842">
        <w:rPr>
          <w:rFonts w:ascii="Times New Roman" w:hAnsi="Times New Roman"/>
          <w:sz w:val="18"/>
          <w:lang w:eastAsia="en-US"/>
        </w:rPr>
        <w:t xml:space="preserve"> Perspective of Hotel IT Managers in Hong Kong</w:t>
      </w:r>
      <w:r w:rsidR="001122C4" w:rsidRPr="00943842">
        <w:rPr>
          <w:rFonts w:ascii="Times New Roman" w:hAnsi="Times New Roman"/>
          <w:sz w:val="18"/>
          <w:lang w:eastAsia="en-US"/>
        </w:rPr>
        <w:t>,</w:t>
      </w:r>
      <w:r w:rsidRPr="00943842">
        <w:rPr>
          <w:rFonts w:ascii="Times New Roman" w:hAnsi="Times New Roman"/>
          <w:sz w:val="18"/>
          <w:lang w:eastAsia="en-US"/>
        </w:rPr>
        <w:t xml:space="preserve"> </w:t>
      </w:r>
      <w:r w:rsidRPr="00943842">
        <w:rPr>
          <w:rFonts w:ascii="Times New Roman" w:hAnsi="Times New Roman"/>
          <w:i/>
          <w:sz w:val="18"/>
          <w:lang w:eastAsia="en-US"/>
        </w:rPr>
        <w:t>Cornell Hospitality Quarterly</w:t>
      </w:r>
      <w:r w:rsidRPr="00943842">
        <w:rPr>
          <w:rFonts w:ascii="Times New Roman" w:hAnsi="Times New Roman"/>
          <w:sz w:val="18"/>
          <w:lang w:eastAsia="en-US"/>
        </w:rPr>
        <w:t xml:space="preserve"> 54 (1), 25-37</w:t>
      </w:r>
    </w:p>
    <w:p w:rsidR="00C26307" w:rsidRPr="00943842"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eastAsia="en-US"/>
        </w:rPr>
        <w:t>Law, R, Leung, D., Au, N</w:t>
      </w:r>
      <w:proofErr w:type="gramStart"/>
      <w:r w:rsidRPr="00943842">
        <w:rPr>
          <w:rFonts w:ascii="Times New Roman" w:hAnsi="Times New Roman"/>
          <w:sz w:val="18"/>
          <w:lang w:eastAsia="en-US"/>
        </w:rPr>
        <w:t>.&amp;</w:t>
      </w:r>
      <w:proofErr w:type="gramEnd"/>
      <w:r w:rsidRPr="00943842">
        <w:rPr>
          <w:rFonts w:ascii="Times New Roman" w:hAnsi="Times New Roman"/>
          <w:sz w:val="18"/>
          <w:lang w:eastAsia="en-US"/>
        </w:rPr>
        <w:t xml:space="preserve"> Lee, A (2013). Progress and Development of Information Technology in the Hospitality Industry: Evidence from Cornell Hospitality Quarterly, </w:t>
      </w:r>
      <w:r w:rsidRPr="00943842">
        <w:rPr>
          <w:rFonts w:ascii="Times New Roman" w:hAnsi="Times New Roman"/>
          <w:i/>
          <w:sz w:val="18"/>
          <w:lang w:eastAsia="en-US"/>
        </w:rPr>
        <w:t>Cornell Hospitality Quarterly</w:t>
      </w:r>
      <w:r w:rsidRPr="00943842">
        <w:rPr>
          <w:rFonts w:ascii="Times New Roman" w:hAnsi="Times New Roman"/>
          <w:sz w:val="18"/>
          <w:lang w:eastAsia="en-US"/>
        </w:rPr>
        <w:t>, 54, 10-24</w:t>
      </w:r>
    </w:p>
    <w:p w:rsidR="0068562F" w:rsidRPr="00943842"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val="fr-CH" w:eastAsia="en-US"/>
        </w:rPr>
        <w:t xml:space="preserve">Marchand D. A., </w:t>
      </w:r>
      <w:proofErr w:type="spellStart"/>
      <w:r w:rsidRPr="00943842">
        <w:rPr>
          <w:rFonts w:ascii="Times New Roman" w:hAnsi="Times New Roman"/>
          <w:sz w:val="18"/>
          <w:lang w:val="fr-CH" w:eastAsia="en-US"/>
        </w:rPr>
        <w:t>Devaraj</w:t>
      </w:r>
      <w:proofErr w:type="spellEnd"/>
      <w:r w:rsidRPr="00943842">
        <w:rPr>
          <w:rFonts w:ascii="Times New Roman" w:hAnsi="Times New Roman"/>
          <w:sz w:val="18"/>
          <w:lang w:val="fr-CH" w:eastAsia="en-US"/>
        </w:rPr>
        <w:t xml:space="preserve"> &amp; </w:t>
      </w:r>
      <w:proofErr w:type="spellStart"/>
      <w:r w:rsidRPr="00943842">
        <w:rPr>
          <w:rFonts w:ascii="Times New Roman" w:hAnsi="Times New Roman"/>
          <w:sz w:val="18"/>
          <w:lang w:val="fr-CH" w:eastAsia="en-US"/>
        </w:rPr>
        <w:t>Kohli</w:t>
      </w:r>
      <w:proofErr w:type="spellEnd"/>
      <w:r w:rsidRPr="00943842">
        <w:rPr>
          <w:rFonts w:ascii="Times New Roman" w:hAnsi="Times New Roman"/>
          <w:sz w:val="18"/>
          <w:lang w:val="fr-CH" w:eastAsia="en-US"/>
        </w:rPr>
        <w:t xml:space="preserve"> (2003). </w:t>
      </w:r>
      <w:r w:rsidRPr="00943842">
        <w:rPr>
          <w:rFonts w:ascii="Times New Roman" w:hAnsi="Times New Roman"/>
          <w:sz w:val="18"/>
          <w:lang w:eastAsia="en-US"/>
        </w:rPr>
        <w:t xml:space="preserve">Reaping the Business Value of IT. </w:t>
      </w:r>
      <w:r w:rsidRPr="00943842">
        <w:rPr>
          <w:rFonts w:ascii="Times New Roman" w:hAnsi="Times New Roman"/>
          <w:i/>
          <w:sz w:val="18"/>
          <w:lang w:eastAsia="en-US"/>
        </w:rPr>
        <w:t>Business &amp; Economic Review</w:t>
      </w:r>
      <w:r w:rsidRPr="00943842">
        <w:rPr>
          <w:rFonts w:ascii="Times New Roman" w:hAnsi="Times New Roman"/>
          <w:sz w:val="18"/>
          <w:lang w:eastAsia="en-US"/>
        </w:rPr>
        <w:t>, 1, 21-24.</w:t>
      </w:r>
    </w:p>
    <w:p w:rsidR="00C26307" w:rsidRPr="0068562F" w:rsidRDefault="00C26307" w:rsidP="00190526">
      <w:pPr>
        <w:spacing w:after="0" w:line="240" w:lineRule="auto"/>
        <w:ind w:left="550" w:hanging="550"/>
        <w:jc w:val="both"/>
        <w:rPr>
          <w:rFonts w:ascii="Times New Roman" w:hAnsi="Times New Roman"/>
          <w:sz w:val="18"/>
          <w:lang w:eastAsia="en-US"/>
        </w:rPr>
      </w:pPr>
      <w:r w:rsidRPr="00943842">
        <w:rPr>
          <w:rFonts w:ascii="Times New Roman" w:hAnsi="Times New Roman"/>
          <w:sz w:val="18"/>
          <w:lang w:eastAsia="en-US"/>
        </w:rPr>
        <w:t xml:space="preserve">Sunny, H., Kim, W.G. &amp; </w:t>
      </w:r>
      <w:proofErr w:type="spellStart"/>
      <w:r w:rsidRPr="00943842">
        <w:rPr>
          <w:rFonts w:ascii="Times New Roman" w:hAnsi="Times New Roman"/>
          <w:sz w:val="18"/>
          <w:lang w:eastAsia="en-US"/>
        </w:rPr>
        <w:t>Jeong</w:t>
      </w:r>
      <w:proofErr w:type="gramStart"/>
      <w:r w:rsidRPr="00943842">
        <w:rPr>
          <w:rFonts w:ascii="Times New Roman" w:hAnsi="Times New Roman"/>
          <w:sz w:val="18"/>
          <w:lang w:eastAsia="en-US"/>
        </w:rPr>
        <w:t>,S</w:t>
      </w:r>
      <w:proofErr w:type="spellEnd"/>
      <w:proofErr w:type="gramEnd"/>
      <w:r w:rsidRPr="00943842">
        <w:rPr>
          <w:rFonts w:ascii="Times New Roman" w:hAnsi="Times New Roman"/>
          <w:sz w:val="18"/>
          <w:lang w:eastAsia="en-US"/>
        </w:rPr>
        <w:t xml:space="preserve"> (2005). Effect of information technology on performance in upscale hotels. </w:t>
      </w:r>
      <w:r w:rsidRPr="00943842">
        <w:rPr>
          <w:rFonts w:ascii="Times New Roman" w:hAnsi="Times New Roman"/>
          <w:i/>
          <w:sz w:val="18"/>
          <w:lang w:eastAsia="en-US"/>
        </w:rPr>
        <w:t>International Journal of Hospitality Management,</w:t>
      </w:r>
      <w:r w:rsidRPr="00943842">
        <w:rPr>
          <w:rFonts w:ascii="Times New Roman" w:hAnsi="Times New Roman"/>
          <w:sz w:val="18"/>
          <w:lang w:eastAsia="en-US"/>
        </w:rPr>
        <w:t xml:space="preserve"> 24(2), 281-294.</w:t>
      </w:r>
    </w:p>
    <w:p w:rsidR="00C26307" w:rsidRPr="0068562F" w:rsidRDefault="00C26307" w:rsidP="00190526">
      <w:pPr>
        <w:spacing w:line="240" w:lineRule="auto"/>
        <w:jc w:val="both"/>
        <w:rPr>
          <w:sz w:val="18"/>
          <w:lang w:eastAsia="en-US"/>
        </w:rPr>
      </w:pPr>
    </w:p>
    <w:p w:rsidR="00C26307" w:rsidRPr="0068562F" w:rsidRDefault="00C26307" w:rsidP="0068562F">
      <w:pPr>
        <w:spacing w:line="240" w:lineRule="auto"/>
        <w:rPr>
          <w:sz w:val="18"/>
          <w:lang w:eastAsia="en-US"/>
        </w:rPr>
      </w:pPr>
    </w:p>
    <w:sectPr w:rsidR="00C26307" w:rsidRPr="0068562F" w:rsidSect="00FE71CB">
      <w:pgSz w:w="11906" w:h="16838"/>
      <w:pgMar w:top="2920" w:right="2495" w:bottom="2920"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C79"/>
    <w:multiLevelType w:val="hybridMultilevel"/>
    <w:tmpl w:val="AAD06FF0"/>
    <w:lvl w:ilvl="0" w:tplc="6FCA1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D2287F"/>
    <w:multiLevelType w:val="hybridMultilevel"/>
    <w:tmpl w:val="2752C214"/>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6F12CA"/>
    <w:multiLevelType w:val="hybridMultilevel"/>
    <w:tmpl w:val="02086774"/>
    <w:lvl w:ilvl="0" w:tplc="621E8B1C">
      <w:start w:val="1"/>
      <w:numFmt w:val="decimal"/>
      <w:lvlText w:val="%1."/>
      <w:lvlJc w:val="left"/>
      <w:pPr>
        <w:tabs>
          <w:tab w:val="num" w:pos="1080"/>
        </w:tabs>
        <w:ind w:left="1080" w:hanging="360"/>
      </w:pPr>
      <w:rPr>
        <w:rFonts w:hint="default"/>
      </w:rPr>
    </w:lvl>
    <w:lvl w:ilvl="1" w:tplc="42D41FE8">
      <w:numFmt w:val="none"/>
      <w:lvlText w:val=""/>
      <w:lvlJc w:val="left"/>
      <w:pPr>
        <w:tabs>
          <w:tab w:val="num" w:pos="360"/>
        </w:tabs>
      </w:pPr>
    </w:lvl>
    <w:lvl w:ilvl="2" w:tplc="824E8CAE">
      <w:numFmt w:val="none"/>
      <w:lvlText w:val=""/>
      <w:lvlJc w:val="left"/>
      <w:pPr>
        <w:tabs>
          <w:tab w:val="num" w:pos="360"/>
        </w:tabs>
      </w:pPr>
    </w:lvl>
    <w:lvl w:ilvl="3" w:tplc="81262552">
      <w:numFmt w:val="none"/>
      <w:lvlText w:val=""/>
      <w:lvlJc w:val="left"/>
      <w:pPr>
        <w:tabs>
          <w:tab w:val="num" w:pos="360"/>
        </w:tabs>
      </w:pPr>
    </w:lvl>
    <w:lvl w:ilvl="4" w:tplc="338E3CB0">
      <w:numFmt w:val="none"/>
      <w:lvlText w:val=""/>
      <w:lvlJc w:val="left"/>
      <w:pPr>
        <w:tabs>
          <w:tab w:val="num" w:pos="360"/>
        </w:tabs>
      </w:pPr>
    </w:lvl>
    <w:lvl w:ilvl="5" w:tplc="969697CA">
      <w:numFmt w:val="none"/>
      <w:lvlText w:val=""/>
      <w:lvlJc w:val="left"/>
      <w:pPr>
        <w:tabs>
          <w:tab w:val="num" w:pos="360"/>
        </w:tabs>
      </w:pPr>
    </w:lvl>
    <w:lvl w:ilvl="6" w:tplc="B2AE70E2">
      <w:numFmt w:val="none"/>
      <w:lvlText w:val=""/>
      <w:lvlJc w:val="left"/>
      <w:pPr>
        <w:tabs>
          <w:tab w:val="num" w:pos="360"/>
        </w:tabs>
      </w:pPr>
    </w:lvl>
    <w:lvl w:ilvl="7" w:tplc="16169136">
      <w:numFmt w:val="none"/>
      <w:lvlText w:val=""/>
      <w:lvlJc w:val="left"/>
      <w:pPr>
        <w:tabs>
          <w:tab w:val="num" w:pos="360"/>
        </w:tabs>
      </w:pPr>
    </w:lvl>
    <w:lvl w:ilvl="8" w:tplc="2682D37A">
      <w:numFmt w:val="none"/>
      <w:lvlText w:val=""/>
      <w:lvlJc w:val="left"/>
      <w:pPr>
        <w:tabs>
          <w:tab w:val="num" w:pos="360"/>
        </w:tabs>
      </w:pPr>
    </w:lvl>
  </w:abstractNum>
  <w:abstractNum w:abstractNumId="3">
    <w:nsid w:val="5A12300A"/>
    <w:multiLevelType w:val="hybridMultilevel"/>
    <w:tmpl w:val="147071FA"/>
    <w:lvl w:ilvl="0" w:tplc="E352513E">
      <w:start w:val="1"/>
      <w:numFmt w:val="decimal"/>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7E1F61"/>
    <w:multiLevelType w:val="hybridMultilevel"/>
    <w:tmpl w:val="29A4E382"/>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F0586"/>
    <w:multiLevelType w:val="hybridMultilevel"/>
    <w:tmpl w:val="659E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60"/>
    <w:rsid w:val="0000628E"/>
    <w:rsid w:val="00007667"/>
    <w:rsid w:val="000121A1"/>
    <w:rsid w:val="000221D7"/>
    <w:rsid w:val="00024B71"/>
    <w:rsid w:val="00027582"/>
    <w:rsid w:val="00040B86"/>
    <w:rsid w:val="000716A1"/>
    <w:rsid w:val="000756F9"/>
    <w:rsid w:val="000840E2"/>
    <w:rsid w:val="00092451"/>
    <w:rsid w:val="00093D65"/>
    <w:rsid w:val="00093DD8"/>
    <w:rsid w:val="000D1D6D"/>
    <w:rsid w:val="000D1E6C"/>
    <w:rsid w:val="000D6911"/>
    <w:rsid w:val="000E0002"/>
    <w:rsid w:val="000E74C0"/>
    <w:rsid w:val="000F07E9"/>
    <w:rsid w:val="001005B2"/>
    <w:rsid w:val="00105773"/>
    <w:rsid w:val="001122C4"/>
    <w:rsid w:val="00113F64"/>
    <w:rsid w:val="00117516"/>
    <w:rsid w:val="0012096F"/>
    <w:rsid w:val="00122660"/>
    <w:rsid w:val="00151294"/>
    <w:rsid w:val="00170707"/>
    <w:rsid w:val="00184CA0"/>
    <w:rsid w:val="00190526"/>
    <w:rsid w:val="0019445C"/>
    <w:rsid w:val="001A70A6"/>
    <w:rsid w:val="001B7D2E"/>
    <w:rsid w:val="001C6B18"/>
    <w:rsid w:val="001D22A0"/>
    <w:rsid w:val="001E4D09"/>
    <w:rsid w:val="00220D4D"/>
    <w:rsid w:val="00226F41"/>
    <w:rsid w:val="00231E6E"/>
    <w:rsid w:val="002A3EDA"/>
    <w:rsid w:val="002B36B5"/>
    <w:rsid w:val="00301692"/>
    <w:rsid w:val="0033342A"/>
    <w:rsid w:val="00333832"/>
    <w:rsid w:val="00333F11"/>
    <w:rsid w:val="003530B6"/>
    <w:rsid w:val="0036025A"/>
    <w:rsid w:val="00360801"/>
    <w:rsid w:val="0036101B"/>
    <w:rsid w:val="003700E0"/>
    <w:rsid w:val="00373AF5"/>
    <w:rsid w:val="00382E96"/>
    <w:rsid w:val="0039055D"/>
    <w:rsid w:val="003D7FD9"/>
    <w:rsid w:val="003E07F2"/>
    <w:rsid w:val="003E3927"/>
    <w:rsid w:val="00400942"/>
    <w:rsid w:val="004033A0"/>
    <w:rsid w:val="00421DA0"/>
    <w:rsid w:val="0042611A"/>
    <w:rsid w:val="00433A36"/>
    <w:rsid w:val="00433ACB"/>
    <w:rsid w:val="00474430"/>
    <w:rsid w:val="004A59BC"/>
    <w:rsid w:val="004B6268"/>
    <w:rsid w:val="004B6F29"/>
    <w:rsid w:val="004C0683"/>
    <w:rsid w:val="004F3124"/>
    <w:rsid w:val="004F31F8"/>
    <w:rsid w:val="00525912"/>
    <w:rsid w:val="00531333"/>
    <w:rsid w:val="00536144"/>
    <w:rsid w:val="0054068D"/>
    <w:rsid w:val="00570293"/>
    <w:rsid w:val="005705DA"/>
    <w:rsid w:val="00571C2D"/>
    <w:rsid w:val="005C0302"/>
    <w:rsid w:val="00613401"/>
    <w:rsid w:val="0061401E"/>
    <w:rsid w:val="00616F08"/>
    <w:rsid w:val="00631853"/>
    <w:rsid w:val="00645460"/>
    <w:rsid w:val="006526B9"/>
    <w:rsid w:val="00667623"/>
    <w:rsid w:val="00671CDA"/>
    <w:rsid w:val="0068562F"/>
    <w:rsid w:val="006B4056"/>
    <w:rsid w:val="006C03AE"/>
    <w:rsid w:val="006E667E"/>
    <w:rsid w:val="00710481"/>
    <w:rsid w:val="00716380"/>
    <w:rsid w:val="007370F0"/>
    <w:rsid w:val="00740FCD"/>
    <w:rsid w:val="00744ACC"/>
    <w:rsid w:val="00752614"/>
    <w:rsid w:val="007704D2"/>
    <w:rsid w:val="00790179"/>
    <w:rsid w:val="007B37B3"/>
    <w:rsid w:val="007C147D"/>
    <w:rsid w:val="007C5AF8"/>
    <w:rsid w:val="007D6BE8"/>
    <w:rsid w:val="007E6023"/>
    <w:rsid w:val="00803B2D"/>
    <w:rsid w:val="008236F9"/>
    <w:rsid w:val="00831712"/>
    <w:rsid w:val="0084147D"/>
    <w:rsid w:val="0085226B"/>
    <w:rsid w:val="00861F85"/>
    <w:rsid w:val="00864CBD"/>
    <w:rsid w:val="00884919"/>
    <w:rsid w:val="00892927"/>
    <w:rsid w:val="008B3865"/>
    <w:rsid w:val="008D2941"/>
    <w:rsid w:val="008E3330"/>
    <w:rsid w:val="00901DD4"/>
    <w:rsid w:val="00943842"/>
    <w:rsid w:val="00964120"/>
    <w:rsid w:val="00964DF9"/>
    <w:rsid w:val="00983A99"/>
    <w:rsid w:val="009A0DF8"/>
    <w:rsid w:val="009D29C1"/>
    <w:rsid w:val="00A14762"/>
    <w:rsid w:val="00A26842"/>
    <w:rsid w:val="00A701E8"/>
    <w:rsid w:val="00A959B3"/>
    <w:rsid w:val="00AA519E"/>
    <w:rsid w:val="00AC004E"/>
    <w:rsid w:val="00AD0A40"/>
    <w:rsid w:val="00AD3667"/>
    <w:rsid w:val="00B32C4E"/>
    <w:rsid w:val="00B374F1"/>
    <w:rsid w:val="00B45D26"/>
    <w:rsid w:val="00B54045"/>
    <w:rsid w:val="00B62F57"/>
    <w:rsid w:val="00B63F40"/>
    <w:rsid w:val="00B72641"/>
    <w:rsid w:val="00B838B8"/>
    <w:rsid w:val="00B91F7D"/>
    <w:rsid w:val="00BA0D4C"/>
    <w:rsid w:val="00BA598E"/>
    <w:rsid w:val="00BB3E2D"/>
    <w:rsid w:val="00BC176D"/>
    <w:rsid w:val="00BC2CB2"/>
    <w:rsid w:val="00BC382E"/>
    <w:rsid w:val="00BD343C"/>
    <w:rsid w:val="00BE5AC0"/>
    <w:rsid w:val="00BE76DB"/>
    <w:rsid w:val="00BE7722"/>
    <w:rsid w:val="00C040AC"/>
    <w:rsid w:val="00C115EE"/>
    <w:rsid w:val="00C1420C"/>
    <w:rsid w:val="00C26307"/>
    <w:rsid w:val="00C26B20"/>
    <w:rsid w:val="00C30745"/>
    <w:rsid w:val="00C321D6"/>
    <w:rsid w:val="00C569AF"/>
    <w:rsid w:val="00C63C92"/>
    <w:rsid w:val="00C65F1D"/>
    <w:rsid w:val="00C90C1F"/>
    <w:rsid w:val="00C90F6A"/>
    <w:rsid w:val="00CB3E1C"/>
    <w:rsid w:val="00CC49B6"/>
    <w:rsid w:val="00CC6E5B"/>
    <w:rsid w:val="00CD0F6F"/>
    <w:rsid w:val="00D07F0D"/>
    <w:rsid w:val="00D53FF5"/>
    <w:rsid w:val="00D84AF6"/>
    <w:rsid w:val="00D91730"/>
    <w:rsid w:val="00D97442"/>
    <w:rsid w:val="00DA58A9"/>
    <w:rsid w:val="00DC49FE"/>
    <w:rsid w:val="00DE120E"/>
    <w:rsid w:val="00DE44F3"/>
    <w:rsid w:val="00DF3A51"/>
    <w:rsid w:val="00DF7F4E"/>
    <w:rsid w:val="00E2194A"/>
    <w:rsid w:val="00E30A95"/>
    <w:rsid w:val="00E34DA4"/>
    <w:rsid w:val="00E62F09"/>
    <w:rsid w:val="00E651EE"/>
    <w:rsid w:val="00E829CB"/>
    <w:rsid w:val="00E82C98"/>
    <w:rsid w:val="00E927BB"/>
    <w:rsid w:val="00EA1F69"/>
    <w:rsid w:val="00EB1A27"/>
    <w:rsid w:val="00EB5332"/>
    <w:rsid w:val="00EB7399"/>
    <w:rsid w:val="00EE16A2"/>
    <w:rsid w:val="00F236D7"/>
    <w:rsid w:val="00F2483C"/>
    <w:rsid w:val="00F3055D"/>
    <w:rsid w:val="00F509EE"/>
    <w:rsid w:val="00F72325"/>
    <w:rsid w:val="00F87486"/>
    <w:rsid w:val="00F9103B"/>
    <w:rsid w:val="00F92990"/>
    <w:rsid w:val="00FB42B5"/>
    <w:rsid w:val="00FC663E"/>
    <w:rsid w:val="00FC6F31"/>
    <w:rsid w:val="00FE71CB"/>
    <w:rsid w:val="00FF04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D39DB-3755-4E96-BE62-BA13824D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0D4C"/>
    <w:pPr>
      <w:keepNext/>
      <w:spacing w:before="240" w:after="120" w:line="240" w:lineRule="auto"/>
      <w:outlineLvl w:val="0"/>
    </w:pPr>
    <w:rPr>
      <w:rFonts w:ascii="Times New Roman" w:eastAsia="PMingLiU"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745"/>
    <w:pPr>
      <w:ind w:left="720"/>
      <w:contextualSpacing/>
    </w:pPr>
  </w:style>
  <w:style w:type="paragraph" w:styleId="BalloonText">
    <w:name w:val="Balloon Text"/>
    <w:basedOn w:val="Normal"/>
    <w:link w:val="BalloonTextChar"/>
    <w:uiPriority w:val="99"/>
    <w:semiHidden/>
    <w:unhideWhenUsed/>
    <w:rsid w:val="0001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A1"/>
    <w:rPr>
      <w:rFonts w:ascii="Tahoma" w:hAnsi="Tahoma" w:cs="Tahoma"/>
      <w:sz w:val="16"/>
      <w:szCs w:val="16"/>
    </w:rPr>
  </w:style>
  <w:style w:type="character" w:styleId="Hyperlink">
    <w:name w:val="Hyperlink"/>
    <w:basedOn w:val="DefaultParagraphFont"/>
    <w:uiPriority w:val="99"/>
    <w:unhideWhenUsed/>
    <w:rsid w:val="00BA598E"/>
    <w:rPr>
      <w:color w:val="0000FF" w:themeColor="hyperlink"/>
      <w:u w:val="single"/>
    </w:rPr>
  </w:style>
  <w:style w:type="character" w:styleId="CommentReference">
    <w:name w:val="annotation reference"/>
    <w:basedOn w:val="DefaultParagraphFont"/>
    <w:uiPriority w:val="99"/>
    <w:semiHidden/>
    <w:unhideWhenUsed/>
    <w:rsid w:val="00220D4D"/>
    <w:rPr>
      <w:sz w:val="16"/>
      <w:szCs w:val="16"/>
    </w:rPr>
  </w:style>
  <w:style w:type="paragraph" w:styleId="CommentText">
    <w:name w:val="annotation text"/>
    <w:basedOn w:val="Normal"/>
    <w:link w:val="CommentTextChar"/>
    <w:uiPriority w:val="99"/>
    <w:semiHidden/>
    <w:unhideWhenUsed/>
    <w:rsid w:val="00220D4D"/>
    <w:pPr>
      <w:spacing w:line="240" w:lineRule="auto"/>
    </w:pPr>
    <w:rPr>
      <w:sz w:val="20"/>
      <w:szCs w:val="20"/>
    </w:rPr>
  </w:style>
  <w:style w:type="character" w:customStyle="1" w:styleId="CommentTextChar">
    <w:name w:val="Comment Text Char"/>
    <w:basedOn w:val="DefaultParagraphFont"/>
    <w:link w:val="CommentText"/>
    <w:uiPriority w:val="99"/>
    <w:semiHidden/>
    <w:rsid w:val="00220D4D"/>
    <w:rPr>
      <w:sz w:val="20"/>
      <w:szCs w:val="20"/>
    </w:rPr>
  </w:style>
  <w:style w:type="paragraph" w:styleId="CommentSubject">
    <w:name w:val="annotation subject"/>
    <w:basedOn w:val="CommentText"/>
    <w:next w:val="CommentText"/>
    <w:link w:val="CommentSubjectChar"/>
    <w:uiPriority w:val="99"/>
    <w:semiHidden/>
    <w:unhideWhenUsed/>
    <w:rsid w:val="00220D4D"/>
    <w:rPr>
      <w:b/>
      <w:bCs/>
    </w:rPr>
  </w:style>
  <w:style w:type="character" w:customStyle="1" w:styleId="CommentSubjectChar">
    <w:name w:val="Comment Subject Char"/>
    <w:basedOn w:val="CommentTextChar"/>
    <w:link w:val="CommentSubject"/>
    <w:uiPriority w:val="99"/>
    <w:semiHidden/>
    <w:rsid w:val="00220D4D"/>
    <w:rPr>
      <w:b/>
      <w:bCs/>
      <w:sz w:val="20"/>
      <w:szCs w:val="20"/>
    </w:rPr>
  </w:style>
  <w:style w:type="character" w:customStyle="1" w:styleId="a">
    <w:name w:val="a"/>
    <w:basedOn w:val="DefaultParagraphFont"/>
    <w:rsid w:val="00BC382E"/>
  </w:style>
  <w:style w:type="paragraph" w:customStyle="1" w:styleId="StyleAbstractBody">
    <w:name w:val="Style Abstract Body"/>
    <w:basedOn w:val="Normal"/>
    <w:rsid w:val="00DE120E"/>
    <w:pPr>
      <w:spacing w:before="120" w:after="120" w:line="200" w:lineRule="exact"/>
      <w:jc w:val="both"/>
    </w:pPr>
    <w:rPr>
      <w:rFonts w:ascii="Times New Roman" w:eastAsia="PMingLiU" w:hAnsi="Times New Roman" w:cs="Times New Roman"/>
      <w:sz w:val="18"/>
      <w:szCs w:val="24"/>
      <w:lang w:eastAsia="en-US"/>
    </w:rPr>
  </w:style>
  <w:style w:type="character" w:customStyle="1" w:styleId="Heading1Char">
    <w:name w:val="Heading 1 Char"/>
    <w:basedOn w:val="DefaultParagraphFont"/>
    <w:link w:val="Heading1"/>
    <w:rsid w:val="00BA0D4C"/>
    <w:rPr>
      <w:rFonts w:ascii="Times New Roman" w:eastAsia="PMingLiU" w:hAnsi="Times New Roman" w:cs="Times New Roman"/>
      <w:b/>
      <w:sz w:val="24"/>
      <w:szCs w:val="20"/>
      <w:lang w:eastAsia="en-US"/>
    </w:rPr>
  </w:style>
  <w:style w:type="paragraph" w:customStyle="1" w:styleId="Title1">
    <w:name w:val="Title1"/>
    <w:basedOn w:val="Normal"/>
    <w:next w:val="Normal"/>
    <w:rsid w:val="00BA0D4C"/>
    <w:pPr>
      <w:spacing w:after="120" w:line="240" w:lineRule="auto"/>
      <w:jc w:val="center"/>
    </w:pPr>
    <w:rPr>
      <w:rFonts w:ascii="Times New Roman" w:eastAsia="PMingLiU" w:hAnsi="Times New Roman" w:cs="Times New Roman"/>
      <w:b/>
      <w:sz w:val="28"/>
      <w:szCs w:val="24"/>
      <w:lang w:eastAsia="en-US"/>
    </w:rPr>
  </w:style>
  <w:style w:type="paragraph" w:customStyle="1" w:styleId="Author">
    <w:name w:val="Author"/>
    <w:basedOn w:val="Normal"/>
    <w:next w:val="Normal"/>
    <w:rsid w:val="00983A99"/>
    <w:pPr>
      <w:spacing w:before="120" w:after="120" w:line="240" w:lineRule="auto"/>
      <w:jc w:val="center"/>
    </w:pPr>
    <w:rPr>
      <w:rFonts w:ascii="Times New Roman" w:eastAsia="PMingLiU" w:hAnsi="Times New Roman" w:cs="Times New Roman"/>
      <w:sz w:val="20"/>
      <w:szCs w:val="24"/>
      <w:lang w:eastAsia="en-US"/>
    </w:rPr>
  </w:style>
  <w:style w:type="paragraph" w:customStyle="1" w:styleId="FigureCaption">
    <w:name w:val="Figure Caption"/>
    <w:basedOn w:val="Normal"/>
    <w:next w:val="Normal"/>
    <w:link w:val="FigureCaptionChar"/>
    <w:rsid w:val="00190526"/>
    <w:pPr>
      <w:spacing w:before="120" w:after="240" w:line="240" w:lineRule="exact"/>
      <w:jc w:val="center"/>
    </w:pPr>
    <w:rPr>
      <w:rFonts w:ascii="Times New Roman" w:eastAsia="PMingLiU" w:hAnsi="Times New Roman" w:cs="Times New Roman"/>
      <w:sz w:val="20"/>
      <w:szCs w:val="20"/>
      <w:lang w:eastAsia="en-US"/>
    </w:rPr>
  </w:style>
  <w:style w:type="character" w:customStyle="1" w:styleId="FigureCaptionChar">
    <w:name w:val="Figure Caption Char"/>
    <w:link w:val="FigureCaption"/>
    <w:rsid w:val="00190526"/>
    <w:rPr>
      <w:rFonts w:ascii="Times New Roman" w:eastAsia="PMingLiU"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7867">
      <w:bodyDiv w:val="1"/>
      <w:marLeft w:val="0"/>
      <w:marRight w:val="0"/>
      <w:marTop w:val="0"/>
      <w:marBottom w:val="0"/>
      <w:divBdr>
        <w:top w:val="none" w:sz="0" w:space="0" w:color="auto"/>
        <w:left w:val="none" w:sz="0" w:space="0" w:color="auto"/>
        <w:bottom w:val="none" w:sz="0" w:space="0" w:color="auto"/>
        <w:right w:val="none" w:sz="0" w:space="0" w:color="auto"/>
      </w:divBdr>
    </w:div>
    <w:div w:id="94250754">
      <w:bodyDiv w:val="1"/>
      <w:marLeft w:val="0"/>
      <w:marRight w:val="0"/>
      <w:marTop w:val="0"/>
      <w:marBottom w:val="0"/>
      <w:divBdr>
        <w:top w:val="none" w:sz="0" w:space="0" w:color="auto"/>
        <w:left w:val="none" w:sz="0" w:space="0" w:color="auto"/>
        <w:bottom w:val="none" w:sz="0" w:space="0" w:color="auto"/>
        <w:right w:val="none" w:sz="0" w:space="0" w:color="auto"/>
      </w:divBdr>
    </w:div>
    <w:div w:id="185486919">
      <w:bodyDiv w:val="1"/>
      <w:marLeft w:val="0"/>
      <w:marRight w:val="0"/>
      <w:marTop w:val="0"/>
      <w:marBottom w:val="0"/>
      <w:divBdr>
        <w:top w:val="none" w:sz="0" w:space="0" w:color="auto"/>
        <w:left w:val="none" w:sz="0" w:space="0" w:color="auto"/>
        <w:bottom w:val="none" w:sz="0" w:space="0" w:color="auto"/>
        <w:right w:val="none" w:sz="0" w:space="0" w:color="auto"/>
      </w:divBdr>
    </w:div>
    <w:div w:id="353846664">
      <w:bodyDiv w:val="1"/>
      <w:marLeft w:val="0"/>
      <w:marRight w:val="0"/>
      <w:marTop w:val="0"/>
      <w:marBottom w:val="0"/>
      <w:divBdr>
        <w:top w:val="none" w:sz="0" w:space="0" w:color="auto"/>
        <w:left w:val="none" w:sz="0" w:space="0" w:color="auto"/>
        <w:bottom w:val="none" w:sz="0" w:space="0" w:color="auto"/>
        <w:right w:val="none" w:sz="0" w:space="0" w:color="auto"/>
      </w:divBdr>
      <w:divsChild>
        <w:div w:id="716590253">
          <w:marLeft w:val="0"/>
          <w:marRight w:val="0"/>
          <w:marTop w:val="0"/>
          <w:marBottom w:val="0"/>
          <w:divBdr>
            <w:top w:val="none" w:sz="0" w:space="0" w:color="auto"/>
            <w:left w:val="none" w:sz="0" w:space="0" w:color="auto"/>
            <w:bottom w:val="none" w:sz="0" w:space="0" w:color="auto"/>
            <w:right w:val="none" w:sz="0" w:space="0" w:color="auto"/>
          </w:divBdr>
          <w:divsChild>
            <w:div w:id="499738435">
              <w:marLeft w:val="0"/>
              <w:marRight w:val="0"/>
              <w:marTop w:val="0"/>
              <w:marBottom w:val="0"/>
              <w:divBdr>
                <w:top w:val="none" w:sz="0" w:space="0" w:color="auto"/>
                <w:left w:val="none" w:sz="0" w:space="0" w:color="auto"/>
                <w:bottom w:val="none" w:sz="0" w:space="0" w:color="auto"/>
                <w:right w:val="none" w:sz="0" w:space="0" w:color="auto"/>
              </w:divBdr>
              <w:divsChild>
                <w:div w:id="294681883">
                  <w:marLeft w:val="0"/>
                  <w:marRight w:val="0"/>
                  <w:marTop w:val="0"/>
                  <w:marBottom w:val="0"/>
                  <w:divBdr>
                    <w:top w:val="none" w:sz="0" w:space="0" w:color="auto"/>
                    <w:left w:val="none" w:sz="0" w:space="0" w:color="auto"/>
                    <w:bottom w:val="none" w:sz="0" w:space="0" w:color="auto"/>
                    <w:right w:val="none" w:sz="0" w:space="0" w:color="auto"/>
                  </w:divBdr>
                  <w:divsChild>
                    <w:div w:id="1954750304">
                      <w:marLeft w:val="0"/>
                      <w:marRight w:val="0"/>
                      <w:marTop w:val="0"/>
                      <w:marBottom w:val="0"/>
                      <w:divBdr>
                        <w:top w:val="none" w:sz="0" w:space="0" w:color="auto"/>
                        <w:left w:val="none" w:sz="0" w:space="0" w:color="auto"/>
                        <w:bottom w:val="none" w:sz="0" w:space="0" w:color="auto"/>
                        <w:right w:val="none" w:sz="0" w:space="0" w:color="auto"/>
                      </w:divBdr>
                    </w:div>
                    <w:div w:id="1179851564">
                      <w:marLeft w:val="0"/>
                      <w:marRight w:val="0"/>
                      <w:marTop w:val="0"/>
                      <w:marBottom w:val="0"/>
                      <w:divBdr>
                        <w:top w:val="none" w:sz="0" w:space="0" w:color="auto"/>
                        <w:left w:val="none" w:sz="0" w:space="0" w:color="auto"/>
                        <w:bottom w:val="none" w:sz="0" w:space="0" w:color="auto"/>
                        <w:right w:val="none" w:sz="0" w:space="0" w:color="auto"/>
                      </w:divBdr>
                    </w:div>
                    <w:div w:id="1704751178">
                      <w:marLeft w:val="0"/>
                      <w:marRight w:val="0"/>
                      <w:marTop w:val="0"/>
                      <w:marBottom w:val="0"/>
                      <w:divBdr>
                        <w:top w:val="none" w:sz="0" w:space="0" w:color="auto"/>
                        <w:left w:val="none" w:sz="0" w:space="0" w:color="auto"/>
                        <w:bottom w:val="none" w:sz="0" w:space="0" w:color="auto"/>
                        <w:right w:val="none" w:sz="0" w:space="0" w:color="auto"/>
                      </w:divBdr>
                    </w:div>
                    <w:div w:id="15728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3604">
      <w:bodyDiv w:val="1"/>
      <w:marLeft w:val="0"/>
      <w:marRight w:val="0"/>
      <w:marTop w:val="0"/>
      <w:marBottom w:val="0"/>
      <w:divBdr>
        <w:top w:val="none" w:sz="0" w:space="0" w:color="auto"/>
        <w:left w:val="none" w:sz="0" w:space="0" w:color="auto"/>
        <w:bottom w:val="none" w:sz="0" w:space="0" w:color="auto"/>
        <w:right w:val="none" w:sz="0" w:space="0" w:color="auto"/>
      </w:divBdr>
    </w:div>
    <w:div w:id="510292113">
      <w:bodyDiv w:val="1"/>
      <w:marLeft w:val="0"/>
      <w:marRight w:val="0"/>
      <w:marTop w:val="0"/>
      <w:marBottom w:val="0"/>
      <w:divBdr>
        <w:top w:val="none" w:sz="0" w:space="0" w:color="auto"/>
        <w:left w:val="none" w:sz="0" w:space="0" w:color="auto"/>
        <w:bottom w:val="none" w:sz="0" w:space="0" w:color="auto"/>
        <w:right w:val="none" w:sz="0" w:space="0" w:color="auto"/>
      </w:divBdr>
    </w:div>
    <w:div w:id="574097051">
      <w:bodyDiv w:val="1"/>
      <w:marLeft w:val="0"/>
      <w:marRight w:val="0"/>
      <w:marTop w:val="0"/>
      <w:marBottom w:val="0"/>
      <w:divBdr>
        <w:top w:val="none" w:sz="0" w:space="0" w:color="auto"/>
        <w:left w:val="none" w:sz="0" w:space="0" w:color="auto"/>
        <w:bottom w:val="none" w:sz="0" w:space="0" w:color="auto"/>
        <w:right w:val="none" w:sz="0" w:space="0" w:color="auto"/>
      </w:divBdr>
    </w:div>
    <w:div w:id="755055929">
      <w:bodyDiv w:val="1"/>
      <w:marLeft w:val="0"/>
      <w:marRight w:val="0"/>
      <w:marTop w:val="0"/>
      <w:marBottom w:val="0"/>
      <w:divBdr>
        <w:top w:val="none" w:sz="0" w:space="0" w:color="auto"/>
        <w:left w:val="none" w:sz="0" w:space="0" w:color="auto"/>
        <w:bottom w:val="none" w:sz="0" w:space="0" w:color="auto"/>
        <w:right w:val="none" w:sz="0" w:space="0" w:color="auto"/>
      </w:divBdr>
    </w:div>
    <w:div w:id="897547095">
      <w:bodyDiv w:val="1"/>
      <w:marLeft w:val="0"/>
      <w:marRight w:val="0"/>
      <w:marTop w:val="0"/>
      <w:marBottom w:val="0"/>
      <w:divBdr>
        <w:top w:val="none" w:sz="0" w:space="0" w:color="auto"/>
        <w:left w:val="none" w:sz="0" w:space="0" w:color="auto"/>
        <w:bottom w:val="none" w:sz="0" w:space="0" w:color="auto"/>
        <w:right w:val="none" w:sz="0" w:space="0" w:color="auto"/>
      </w:divBdr>
    </w:div>
    <w:div w:id="941958548">
      <w:bodyDiv w:val="1"/>
      <w:marLeft w:val="0"/>
      <w:marRight w:val="0"/>
      <w:marTop w:val="0"/>
      <w:marBottom w:val="0"/>
      <w:divBdr>
        <w:top w:val="none" w:sz="0" w:space="0" w:color="auto"/>
        <w:left w:val="none" w:sz="0" w:space="0" w:color="auto"/>
        <w:bottom w:val="none" w:sz="0" w:space="0" w:color="auto"/>
        <w:right w:val="none" w:sz="0" w:space="0" w:color="auto"/>
      </w:divBdr>
    </w:div>
    <w:div w:id="1030760490">
      <w:bodyDiv w:val="1"/>
      <w:marLeft w:val="0"/>
      <w:marRight w:val="0"/>
      <w:marTop w:val="0"/>
      <w:marBottom w:val="0"/>
      <w:divBdr>
        <w:top w:val="none" w:sz="0" w:space="0" w:color="auto"/>
        <w:left w:val="none" w:sz="0" w:space="0" w:color="auto"/>
        <w:bottom w:val="none" w:sz="0" w:space="0" w:color="auto"/>
        <w:right w:val="none" w:sz="0" w:space="0" w:color="auto"/>
      </w:divBdr>
    </w:div>
    <w:div w:id="1121455359">
      <w:bodyDiv w:val="1"/>
      <w:marLeft w:val="0"/>
      <w:marRight w:val="0"/>
      <w:marTop w:val="0"/>
      <w:marBottom w:val="0"/>
      <w:divBdr>
        <w:top w:val="none" w:sz="0" w:space="0" w:color="auto"/>
        <w:left w:val="none" w:sz="0" w:space="0" w:color="auto"/>
        <w:bottom w:val="none" w:sz="0" w:space="0" w:color="auto"/>
        <w:right w:val="none" w:sz="0" w:space="0" w:color="auto"/>
      </w:divBdr>
      <w:divsChild>
        <w:div w:id="1593199277">
          <w:marLeft w:val="0"/>
          <w:marRight w:val="0"/>
          <w:marTop w:val="0"/>
          <w:marBottom w:val="0"/>
          <w:divBdr>
            <w:top w:val="none" w:sz="0" w:space="0" w:color="auto"/>
            <w:left w:val="none" w:sz="0" w:space="0" w:color="auto"/>
            <w:bottom w:val="none" w:sz="0" w:space="0" w:color="auto"/>
            <w:right w:val="none" w:sz="0" w:space="0" w:color="auto"/>
          </w:divBdr>
        </w:div>
        <w:div w:id="1937471548">
          <w:marLeft w:val="0"/>
          <w:marRight w:val="0"/>
          <w:marTop w:val="0"/>
          <w:marBottom w:val="0"/>
          <w:divBdr>
            <w:top w:val="none" w:sz="0" w:space="0" w:color="auto"/>
            <w:left w:val="none" w:sz="0" w:space="0" w:color="auto"/>
            <w:bottom w:val="none" w:sz="0" w:space="0" w:color="auto"/>
            <w:right w:val="none" w:sz="0" w:space="0" w:color="auto"/>
          </w:divBdr>
        </w:div>
      </w:divsChild>
    </w:div>
    <w:div w:id="1122698890">
      <w:bodyDiv w:val="1"/>
      <w:marLeft w:val="0"/>
      <w:marRight w:val="0"/>
      <w:marTop w:val="0"/>
      <w:marBottom w:val="0"/>
      <w:divBdr>
        <w:top w:val="none" w:sz="0" w:space="0" w:color="auto"/>
        <w:left w:val="none" w:sz="0" w:space="0" w:color="auto"/>
        <w:bottom w:val="none" w:sz="0" w:space="0" w:color="auto"/>
        <w:right w:val="none" w:sz="0" w:space="0" w:color="auto"/>
      </w:divBdr>
    </w:div>
    <w:div w:id="1185939483">
      <w:bodyDiv w:val="1"/>
      <w:marLeft w:val="0"/>
      <w:marRight w:val="0"/>
      <w:marTop w:val="0"/>
      <w:marBottom w:val="0"/>
      <w:divBdr>
        <w:top w:val="none" w:sz="0" w:space="0" w:color="auto"/>
        <w:left w:val="none" w:sz="0" w:space="0" w:color="auto"/>
        <w:bottom w:val="none" w:sz="0" w:space="0" w:color="auto"/>
        <w:right w:val="none" w:sz="0" w:space="0" w:color="auto"/>
      </w:divBdr>
    </w:div>
    <w:div w:id="1202278734">
      <w:bodyDiv w:val="1"/>
      <w:marLeft w:val="0"/>
      <w:marRight w:val="0"/>
      <w:marTop w:val="0"/>
      <w:marBottom w:val="0"/>
      <w:divBdr>
        <w:top w:val="none" w:sz="0" w:space="0" w:color="auto"/>
        <w:left w:val="none" w:sz="0" w:space="0" w:color="auto"/>
        <w:bottom w:val="none" w:sz="0" w:space="0" w:color="auto"/>
        <w:right w:val="none" w:sz="0" w:space="0" w:color="auto"/>
      </w:divBdr>
    </w:div>
    <w:div w:id="1318267163">
      <w:bodyDiv w:val="1"/>
      <w:marLeft w:val="0"/>
      <w:marRight w:val="0"/>
      <w:marTop w:val="0"/>
      <w:marBottom w:val="0"/>
      <w:divBdr>
        <w:top w:val="none" w:sz="0" w:space="0" w:color="auto"/>
        <w:left w:val="none" w:sz="0" w:space="0" w:color="auto"/>
        <w:bottom w:val="none" w:sz="0" w:space="0" w:color="auto"/>
        <w:right w:val="none" w:sz="0" w:space="0" w:color="auto"/>
      </w:divBdr>
    </w:div>
    <w:div w:id="1331175909">
      <w:bodyDiv w:val="1"/>
      <w:marLeft w:val="0"/>
      <w:marRight w:val="0"/>
      <w:marTop w:val="0"/>
      <w:marBottom w:val="0"/>
      <w:divBdr>
        <w:top w:val="none" w:sz="0" w:space="0" w:color="auto"/>
        <w:left w:val="none" w:sz="0" w:space="0" w:color="auto"/>
        <w:bottom w:val="none" w:sz="0" w:space="0" w:color="auto"/>
        <w:right w:val="none" w:sz="0" w:space="0" w:color="auto"/>
      </w:divBdr>
    </w:div>
    <w:div w:id="1401441386">
      <w:bodyDiv w:val="1"/>
      <w:marLeft w:val="0"/>
      <w:marRight w:val="0"/>
      <w:marTop w:val="0"/>
      <w:marBottom w:val="0"/>
      <w:divBdr>
        <w:top w:val="none" w:sz="0" w:space="0" w:color="auto"/>
        <w:left w:val="none" w:sz="0" w:space="0" w:color="auto"/>
        <w:bottom w:val="none" w:sz="0" w:space="0" w:color="auto"/>
        <w:right w:val="none" w:sz="0" w:space="0" w:color="auto"/>
      </w:divBdr>
    </w:div>
    <w:div w:id="1454790534">
      <w:bodyDiv w:val="1"/>
      <w:marLeft w:val="0"/>
      <w:marRight w:val="0"/>
      <w:marTop w:val="0"/>
      <w:marBottom w:val="0"/>
      <w:divBdr>
        <w:top w:val="none" w:sz="0" w:space="0" w:color="auto"/>
        <w:left w:val="none" w:sz="0" w:space="0" w:color="auto"/>
        <w:bottom w:val="none" w:sz="0" w:space="0" w:color="auto"/>
        <w:right w:val="none" w:sz="0" w:space="0" w:color="auto"/>
      </w:divBdr>
    </w:div>
    <w:div w:id="1586302358">
      <w:bodyDiv w:val="1"/>
      <w:marLeft w:val="0"/>
      <w:marRight w:val="0"/>
      <w:marTop w:val="0"/>
      <w:marBottom w:val="0"/>
      <w:divBdr>
        <w:top w:val="none" w:sz="0" w:space="0" w:color="auto"/>
        <w:left w:val="none" w:sz="0" w:space="0" w:color="auto"/>
        <w:bottom w:val="none" w:sz="0" w:space="0" w:color="auto"/>
        <w:right w:val="none" w:sz="0" w:space="0" w:color="auto"/>
      </w:divBdr>
    </w:div>
    <w:div w:id="1593394893">
      <w:bodyDiv w:val="1"/>
      <w:marLeft w:val="0"/>
      <w:marRight w:val="0"/>
      <w:marTop w:val="0"/>
      <w:marBottom w:val="0"/>
      <w:divBdr>
        <w:top w:val="none" w:sz="0" w:space="0" w:color="auto"/>
        <w:left w:val="none" w:sz="0" w:space="0" w:color="auto"/>
        <w:bottom w:val="none" w:sz="0" w:space="0" w:color="auto"/>
        <w:right w:val="none" w:sz="0" w:space="0" w:color="auto"/>
      </w:divBdr>
    </w:div>
    <w:div w:id="1728184456">
      <w:bodyDiv w:val="1"/>
      <w:marLeft w:val="0"/>
      <w:marRight w:val="0"/>
      <w:marTop w:val="0"/>
      <w:marBottom w:val="0"/>
      <w:divBdr>
        <w:top w:val="none" w:sz="0" w:space="0" w:color="auto"/>
        <w:left w:val="none" w:sz="0" w:space="0" w:color="auto"/>
        <w:bottom w:val="none" w:sz="0" w:space="0" w:color="auto"/>
        <w:right w:val="none" w:sz="0" w:space="0" w:color="auto"/>
      </w:divBdr>
    </w:div>
    <w:div w:id="1794790686">
      <w:bodyDiv w:val="1"/>
      <w:marLeft w:val="0"/>
      <w:marRight w:val="0"/>
      <w:marTop w:val="0"/>
      <w:marBottom w:val="0"/>
      <w:divBdr>
        <w:top w:val="none" w:sz="0" w:space="0" w:color="auto"/>
        <w:left w:val="none" w:sz="0" w:space="0" w:color="auto"/>
        <w:bottom w:val="none" w:sz="0" w:space="0" w:color="auto"/>
        <w:right w:val="none" w:sz="0" w:space="0" w:color="auto"/>
      </w:divBdr>
    </w:div>
    <w:div w:id="2022195256">
      <w:bodyDiv w:val="1"/>
      <w:marLeft w:val="0"/>
      <w:marRight w:val="0"/>
      <w:marTop w:val="0"/>
      <w:marBottom w:val="0"/>
      <w:divBdr>
        <w:top w:val="none" w:sz="0" w:space="0" w:color="auto"/>
        <w:left w:val="none" w:sz="0" w:space="0" w:color="auto"/>
        <w:bottom w:val="none" w:sz="0" w:space="0" w:color="auto"/>
        <w:right w:val="none" w:sz="0" w:space="0" w:color="auto"/>
      </w:divBdr>
      <w:divsChild>
        <w:div w:id="1506481385">
          <w:marLeft w:val="0"/>
          <w:marRight w:val="0"/>
          <w:marTop w:val="0"/>
          <w:marBottom w:val="0"/>
          <w:divBdr>
            <w:top w:val="none" w:sz="0" w:space="0" w:color="auto"/>
            <w:left w:val="none" w:sz="0" w:space="0" w:color="auto"/>
            <w:bottom w:val="none" w:sz="0" w:space="0" w:color="auto"/>
            <w:right w:val="none" w:sz="0" w:space="0" w:color="auto"/>
          </w:divBdr>
        </w:div>
        <w:div w:id="953244618">
          <w:marLeft w:val="0"/>
          <w:marRight w:val="0"/>
          <w:marTop w:val="0"/>
          <w:marBottom w:val="0"/>
          <w:divBdr>
            <w:top w:val="none" w:sz="0" w:space="0" w:color="auto"/>
            <w:left w:val="none" w:sz="0" w:space="0" w:color="auto"/>
            <w:bottom w:val="none" w:sz="0" w:space="0" w:color="auto"/>
            <w:right w:val="none" w:sz="0" w:space="0" w:color="auto"/>
          </w:divBdr>
        </w:div>
      </w:divsChild>
    </w:div>
    <w:div w:id="21347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2CE6-DC22-4136-A501-2F00F44B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ECOLE HOTELIERE LAUSANNE</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Meng-Mei Chen</dc:creator>
  <cp:lastModifiedBy>Tussyadiah, Iis Patimah</cp:lastModifiedBy>
  <cp:revision>2</cp:revision>
  <cp:lastPrinted>2013-09-09T07:39:00Z</cp:lastPrinted>
  <dcterms:created xsi:type="dcterms:W3CDTF">2013-12-02T22:47:00Z</dcterms:created>
  <dcterms:modified xsi:type="dcterms:W3CDTF">2013-12-02T22:47:00Z</dcterms:modified>
</cp:coreProperties>
</file>